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INFORME DE AUDITORÍA ACADÉMICA</w:t>
      </w:r>
    </w:p>
    <w:p>
      <w:pPr>
        <w:spacing w:after="240"/>
        <w:jc w:val="center"/>
      </w:pPr>
      <w:r>
        <w:rPr>
          <w:color w:val="444444"/>
          <w:sz w:val="22"/>
          <w:szCs w:val="22"/>
        </w:rPr>
        <w:t xml:space="preserve">Revisión integral previa a la defensa</w:t>
      </w:r>
    </w:p>
    <w:p>
      <w:pPr>
        <w:pBdr>
          <w:bottom w:val="single" w:color="2E5496" w:sz="6"/>
        </w:pBdr>
        <w:spacing w:after="220" w:before="60"/>
      </w:pP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6826"/>
      </w:tblGrid>
      <w:tr>
        <w:trPr>
          <w:tblHeader/>
        </w:trPr>
        <w:tc>
          <w:tcPr>
            <w:tcW w:type="dxa" w:w="2200"/>
            <w:shd w:fill="DCE6F1" w:color="auto" w:val="clear"/>
            <w:tcMar>
              <w:top w:type="dxa" w:w="50"/>
              <w:left w:type="dxa" w:w="80"/>
              <w:bottom w:type="dxa" w:w="50"/>
              <w:right w:type="dxa" w:w="80"/>
            </w:tcMar>
            <w:vAlign w:val="top"/>
          </w:tcPr>
          <w:p>
            <w:pPr>
              <w:spacing w:after="40" w:before="40" w:line="252"/>
            </w:pPr>
            <w:r>
              <w:rPr>
                <w:b/>
                <w:bCs/>
                <w:sz w:val="18"/>
                <w:szCs w:val="18"/>
              </w:rPr>
              <w:t xml:space="preserve">Campo</w:t>
            </w:r>
          </w:p>
        </w:tc>
        <w:tc>
          <w:tcPr>
            <w:tcW w:type="dxa" w:w="6826"/>
            <w:shd w:fill="DCE6F1" w:color="auto" w:val="clear"/>
            <w:tcMar>
              <w:top w:type="dxa" w:w="50"/>
              <w:left w:type="dxa" w:w="80"/>
              <w:bottom w:type="dxa" w:w="50"/>
              <w:right w:type="dxa" w:w="80"/>
            </w:tcMar>
            <w:vAlign w:val="top"/>
          </w:tcPr>
          <w:p>
            <w:pPr>
              <w:spacing w:after="40" w:before="40" w:line="252"/>
            </w:pPr>
            <w:r>
              <w:rPr>
                <w:b/>
                <w:bCs/>
                <w:sz w:val="18"/>
                <w:szCs w:val="18"/>
              </w:rPr>
              <w:t xml:space="preserve">Detalle</w:t>
            </w:r>
          </w:p>
        </w:tc>
      </w:tr>
      <w:tr>
        <w:tc>
          <w:tcPr>
            <w:tcW w:type="dxa" w:w="2200"/>
            <w:tcMar>
              <w:top w:type="dxa" w:w="50"/>
              <w:left w:type="dxa" w:w="80"/>
              <w:bottom w:type="dxa" w:w="50"/>
              <w:right w:type="dxa" w:w="80"/>
            </w:tcMar>
            <w:vAlign w:val="top"/>
          </w:tcPr>
          <w:p>
            <w:pPr>
              <w:spacing w:after="40" w:before="40" w:line="252"/>
            </w:pPr>
            <w:r>
              <w:rPr>
                <w:b/>
                <w:bCs/>
                <w:sz w:val="18"/>
                <w:szCs w:val="18"/>
              </w:rPr>
              <w:t xml:space="preserve">Trabajo auditado</w:t>
            </w:r>
          </w:p>
        </w:tc>
        <w:tc>
          <w:tcPr>
            <w:tcW w:type="dxa" w:w="6826"/>
            <w:tcMar>
              <w:top w:type="dxa" w:w="50"/>
              <w:left w:type="dxa" w:w="80"/>
              <w:bottom w:type="dxa" w:w="50"/>
              <w:right w:type="dxa" w:w="80"/>
            </w:tcMar>
            <w:vAlign w:val="top"/>
          </w:tcPr>
          <w:p>
            <w:pPr>
              <w:spacing w:after="40" w:before="40" w:line="252"/>
            </w:pPr>
            <w:r>
              <w:rPr>
                <w:b w:val="false"/>
                <w:bCs w:val="false"/>
                <w:sz w:val="18"/>
                <w:szCs w:val="18"/>
              </w:rPr>
              <w:t xml:space="preserve">Automatización del ciclo post-venta en e-commerce: pipeline de procesamiento de órdenes y atención al cliente omnicanal con IA, implementado con n8n</w:t>
            </w:r>
          </w:p>
        </w:tc>
      </w:tr>
      <w:tr>
        <w:tc>
          <w:tcPr>
            <w:tcW w:type="dxa" w:w="2200"/>
            <w:tcMar>
              <w:top w:type="dxa" w:w="50"/>
              <w:left w:type="dxa" w:w="80"/>
              <w:bottom w:type="dxa" w:w="50"/>
              <w:right w:type="dxa" w:w="80"/>
            </w:tcMar>
            <w:vAlign w:val="top"/>
          </w:tcPr>
          <w:p>
            <w:pPr>
              <w:spacing w:after="40" w:before="40" w:line="252"/>
            </w:pPr>
            <w:r>
              <w:rPr>
                <w:b/>
                <w:bCs/>
                <w:sz w:val="18"/>
                <w:szCs w:val="18"/>
              </w:rPr>
              <w:t xml:space="preserve">Autores</w:t>
            </w:r>
          </w:p>
        </w:tc>
        <w:tc>
          <w:tcPr>
            <w:tcW w:type="dxa" w:w="6826"/>
            <w:tcMar>
              <w:top w:type="dxa" w:w="50"/>
              <w:left w:type="dxa" w:w="80"/>
              <w:bottom w:type="dxa" w:w="50"/>
              <w:right w:type="dxa" w:w="80"/>
            </w:tcMar>
            <w:vAlign w:val="top"/>
          </w:tcPr>
          <w:p>
            <w:pPr>
              <w:spacing w:after="40" w:before="40" w:line="252"/>
            </w:pPr>
            <w:r>
              <w:rPr>
                <w:b w:val="false"/>
                <w:bCs w:val="false"/>
                <w:sz w:val="18"/>
                <w:szCs w:val="18"/>
              </w:rPr>
              <w:t xml:space="preserve">Santiago Sordi — Ignacio Odorico — Juan Cruz Ana</w:t>
            </w:r>
          </w:p>
        </w:tc>
      </w:tr>
      <w:tr>
        <w:tc>
          <w:tcPr>
            <w:tcW w:type="dxa" w:w="2200"/>
            <w:tcMar>
              <w:top w:type="dxa" w:w="50"/>
              <w:left w:type="dxa" w:w="80"/>
              <w:bottom w:type="dxa" w:w="50"/>
              <w:right w:type="dxa" w:w="80"/>
            </w:tcMar>
            <w:vAlign w:val="top"/>
          </w:tcPr>
          <w:p>
            <w:pPr>
              <w:spacing w:after="40" w:before="40" w:line="252"/>
            </w:pPr>
            <w:r>
              <w:rPr>
                <w:b/>
                <w:bCs/>
                <w:sz w:val="18"/>
                <w:szCs w:val="18"/>
              </w:rPr>
              <w:t xml:space="preserve">Director</w:t>
            </w:r>
          </w:p>
        </w:tc>
        <w:tc>
          <w:tcPr>
            <w:tcW w:type="dxa" w:w="6826"/>
            <w:tcMar>
              <w:top w:type="dxa" w:w="50"/>
              <w:left w:type="dxa" w:w="80"/>
              <w:bottom w:type="dxa" w:w="50"/>
              <w:right w:type="dxa" w:w="80"/>
            </w:tcMar>
            <w:vAlign w:val="top"/>
          </w:tcPr>
          <w:p>
            <w:pPr>
              <w:spacing w:after="40" w:before="40" w:line="252"/>
            </w:pPr>
            <w:r>
              <w:rPr>
                <w:b w:val="false"/>
                <w:bCs w:val="false"/>
                <w:sz w:val="18"/>
                <w:szCs w:val="18"/>
              </w:rPr>
              <w:t xml:space="preserve">Alberto Cortez</w:t>
            </w:r>
          </w:p>
        </w:tc>
      </w:tr>
      <w:tr>
        <w:tc>
          <w:tcPr>
            <w:tcW w:type="dxa" w:w="2200"/>
            <w:tcMar>
              <w:top w:type="dxa" w:w="50"/>
              <w:left w:type="dxa" w:w="80"/>
              <w:bottom w:type="dxa" w:w="50"/>
              <w:right w:type="dxa" w:w="80"/>
            </w:tcMar>
            <w:vAlign w:val="top"/>
          </w:tcPr>
          <w:p>
            <w:pPr>
              <w:spacing w:after="40" w:before="40" w:line="252"/>
            </w:pPr>
            <w:r>
              <w:rPr>
                <w:b/>
                <w:bCs/>
                <w:sz w:val="18"/>
                <w:szCs w:val="18"/>
              </w:rPr>
              <w:t xml:space="preserve">Carrera</w:t>
            </w:r>
          </w:p>
        </w:tc>
        <w:tc>
          <w:tcPr>
            <w:tcW w:type="dxa" w:w="6826"/>
            <w:tcMar>
              <w:top w:type="dxa" w:w="50"/>
              <w:left w:type="dxa" w:w="80"/>
              <w:bottom w:type="dxa" w:w="50"/>
              <w:right w:type="dxa" w:w="80"/>
            </w:tcMar>
            <w:vAlign w:val="top"/>
          </w:tcPr>
          <w:p>
            <w:pPr>
              <w:spacing w:after="40" w:before="40" w:line="252"/>
            </w:pPr>
            <w:r>
              <w:rPr>
                <w:b w:val="false"/>
                <w:bCs w:val="false"/>
                <w:sz w:val="18"/>
                <w:szCs w:val="18"/>
              </w:rPr>
              <w:t xml:space="preserve">Tecnicatura Universitaria en Programación — UTN Facultad Regional Mendoza</w:t>
            </w:r>
          </w:p>
        </w:tc>
      </w:tr>
      <w:tr>
        <w:tc>
          <w:tcPr>
            <w:tcW w:type="dxa" w:w="2200"/>
            <w:tcMar>
              <w:top w:type="dxa" w:w="50"/>
              <w:left w:type="dxa" w:w="80"/>
              <w:bottom w:type="dxa" w:w="50"/>
              <w:right w:type="dxa" w:w="80"/>
            </w:tcMar>
            <w:vAlign w:val="top"/>
          </w:tcPr>
          <w:p>
            <w:pPr>
              <w:spacing w:after="40" w:before="40" w:line="252"/>
            </w:pPr>
            <w:r>
              <w:rPr>
                <w:b/>
                <w:bCs/>
                <w:sz w:val="18"/>
                <w:szCs w:val="18"/>
              </w:rPr>
              <w:t xml:space="preserve">Archivo cotejado</w:t>
            </w:r>
          </w:p>
        </w:tc>
        <w:tc>
          <w:tcPr>
            <w:tcW w:type="dxa" w:w="6826"/>
            <w:tcMar>
              <w:top w:type="dxa" w:w="50"/>
              <w:left w:type="dxa" w:w="80"/>
              <w:bottom w:type="dxa" w:w="50"/>
              <w:right w:type="dxa" w:w="80"/>
            </w:tcMar>
            <w:vAlign w:val="top"/>
          </w:tcPr>
          <w:p>
            <w:pPr>
              <w:spacing w:after="40" w:before="40" w:line="252"/>
            </w:pPr>
            <w:r>
              <w:rPr>
                <w:b w:val="false"/>
                <w:bCs w:val="false"/>
                <w:sz w:val="18"/>
                <w:szCs w:val="18"/>
              </w:rPr>
              <w:t xml:space="preserve">TESIS_FINAL_UTN_v5.pdf · 52 páginas · tamaño carta</w:t>
            </w:r>
          </w:p>
        </w:tc>
      </w:tr>
      <w:tr>
        <w:tc>
          <w:tcPr>
            <w:tcW w:type="dxa" w:w="2200"/>
            <w:tcMar>
              <w:top w:type="dxa" w:w="50"/>
              <w:left w:type="dxa" w:w="80"/>
              <w:bottom w:type="dxa" w:w="50"/>
              <w:right w:type="dxa" w:w="80"/>
            </w:tcMar>
            <w:vAlign w:val="top"/>
          </w:tcPr>
          <w:p>
            <w:pPr>
              <w:spacing w:after="40" w:before="40" w:line="252"/>
            </w:pPr>
            <w:r>
              <w:rPr>
                <w:b/>
                <w:bCs/>
                <w:sz w:val="18"/>
                <w:szCs w:val="18"/>
              </w:rPr>
              <w:t xml:space="preserve">Composición</w:t>
            </w:r>
          </w:p>
        </w:tc>
        <w:tc>
          <w:tcPr>
            <w:tcW w:type="dxa" w:w="6826"/>
            <w:tcMar>
              <w:top w:type="dxa" w:w="50"/>
              <w:left w:type="dxa" w:w="80"/>
              <w:bottom w:type="dxa" w:w="50"/>
              <w:right w:type="dxa" w:w="80"/>
            </w:tcMar>
            <w:vAlign w:val="top"/>
          </w:tcPr>
          <w:p>
            <w:pPr>
              <w:spacing w:after="40" w:before="40" w:line="252"/>
            </w:pPr>
            <w:r>
              <w:rPr>
                <w:b w:val="false"/>
                <w:bCs w:val="false"/>
                <w:sz w:val="18"/>
                <w:szCs w:val="18"/>
              </w:rPr>
              <w:t xml:space="preserve">9 capítulos · 7 anexos · 33 referencias · 9 rótulos de figura sobre 11 imágenes reales · 14 tablas sin numerar en el cuerpo</w:t>
            </w:r>
          </w:p>
        </w:tc>
      </w:tr>
      <w:tr>
        <w:tc>
          <w:tcPr>
            <w:tcW w:type="dxa" w:w="2200"/>
            <w:tcMar>
              <w:top w:type="dxa" w:w="50"/>
              <w:left w:type="dxa" w:w="80"/>
              <w:bottom w:type="dxa" w:w="50"/>
              <w:right w:type="dxa" w:w="80"/>
            </w:tcMar>
            <w:vAlign w:val="top"/>
          </w:tcPr>
          <w:p>
            <w:pPr>
              <w:spacing w:after="40" w:before="40" w:line="252"/>
            </w:pPr>
            <w:r>
              <w:rPr>
                <w:b/>
                <w:bCs/>
                <w:sz w:val="18"/>
                <w:szCs w:val="18"/>
              </w:rPr>
              <w:t xml:space="preserve">Norma de referencia</w:t>
            </w:r>
          </w:p>
        </w:tc>
        <w:tc>
          <w:tcPr>
            <w:tcW w:type="dxa" w:w="6826"/>
            <w:tcMar>
              <w:top w:type="dxa" w:w="50"/>
              <w:left w:type="dxa" w:w="80"/>
              <w:bottom w:type="dxa" w:w="50"/>
              <w:right w:type="dxa" w:w="80"/>
            </w:tcMar>
            <w:vAlign w:val="top"/>
          </w:tcPr>
          <w:p>
            <w:pPr>
              <w:spacing w:after="40" w:before="40" w:line="252"/>
            </w:pPr>
            <w:r>
              <w:rPr>
                <w:b w:val="false"/>
                <w:bCs w:val="false"/>
                <w:sz w:val="18"/>
                <w:szCs w:val="18"/>
              </w:rPr>
              <w:t xml:space="preserve">APA 7.ª edición · Modalidad: tribunal evaluador simulado</w:t>
            </w:r>
          </w:p>
        </w:tc>
      </w:tr>
    </w:tbl>
    <w:p>
      <w:pPr>
        <w:spacing w:after="140"/>
      </w:pPr>
    </w:p>
    <w:p>
      <w:pPr>
        <w:pStyle w:val="Heading1"/>
        <w:spacing w:after="160" w:before="340"/>
      </w:pPr>
      <w:r>
        <w:rPr>
          <w:b/>
          <w:bCs/>
          <w:color w:val="1F3864"/>
          <w:sz w:val="28"/>
          <w:szCs w:val="28"/>
        </w:rPr>
        <w:t xml:space="preserve">0. Alcance y método</w:t>
      </w:r>
    </w:p>
    <w:p>
      <w:pPr>
        <w:spacing w:after="140" w:line="276"/>
      </w:pPr>
      <w:r>
        <w:rPr>
          <w:sz w:val="21"/>
          <w:szCs w:val="21"/>
        </w:rPr>
        <w:t xml:space="preserve">Además de la lectura integral, se aplicaron seis verificaciones independientes sobre el archivo entregado: recálculo aritmético de todos los estadísticos derivados y de todos los factores de mejora reportados; contraste de cada cifra que aparece en más de una sección; comparación de las capturas de pantalla publicadas contra las tablas de resultados, mediante renderizado a alta resolución; identificación de los objetos de imagen del PDF por huella criptográfica; cotejo de las afirmaciones atribuidas a fuentes contra el texto de esas fuentes; y verificación de que las referencias citadas correspondan a publicaciones reales.</w:t>
      </w:r>
    </w:p>
    <w:p>
      <w:pPr>
        <w:spacing w:after="140" w:line="276"/>
      </w:pPr>
      <w:r>
        <w:rPr>
          <w:sz w:val="21"/>
          <w:szCs w:val="21"/>
        </w:rPr>
        <w:t xml:space="preserve">Se aplica el criterio de que una afirmación no verificable no se computa como error. Cuando algo no pudo comprobarse, este informe lo declara explícitamente y no lo cuenta en el balance.</w:t>
      </w:r>
    </w:p>
    <w:p>
      <w:pPr>
        <w:spacing w:after="140" w:line="276"/>
      </w:pPr>
      <w:r>
        <w:rPr>
          <w:sz w:val="21"/>
          <w:szCs w:val="21"/>
        </w:rPr>
        <w:t xml:space="preserve">Los hallazgos se clasifican en cuatro severidades. Crítico compromete la aprobación y no es subsanable durante la defensa. Alto genera observación mayor. Medio, observación menor. Bajo, mejora formal.</w:t>
      </w:r>
    </w:p>
    <w:p>
      <w:pPr>
        <w:pStyle w:val="Heading1"/>
        <w:spacing w:after="160" w:before="340"/>
      </w:pPr>
      <w:r>
        <w:rPr>
          <w:b/>
          <w:bCs/>
          <w:color w:val="1F3864"/>
          <w:sz w:val="28"/>
          <w:szCs w:val="28"/>
        </w:rPr>
        <w:t xml:space="preserve">1. Resumen ejecutivo</w:t>
      </w:r>
    </w:p>
    <w:p>
      <w:pPr>
        <w:spacing w:after="140" w:line="276"/>
      </w:pPr>
      <w:r>
        <w:rPr>
          <w:b/>
          <w:bCs/>
          <w:sz w:val="21"/>
          <w:szCs w:val="21"/>
        </w:rPr>
        <w:t xml:space="preserve">Dictamen: requiere una revisión profunda antes de la defensa.</w:t>
      </w:r>
    </w:p>
    <w:p>
      <w:pPr>
        <w:spacing w:after="140" w:line="276"/>
      </w:pPr>
      <w:r>
        <w:rPr>
          <w:b/>
          <w:bCs/>
          <w:sz w:val="21"/>
          <w:szCs w:val="21"/>
        </w:rPr>
        <w:t xml:space="preserve">Puntaje global: 4,2 / 10</w:t>
      </w:r>
    </w:p>
    <w:p>
      <w:pPr>
        <w:spacing w:after="140" w:line="276"/>
      </w:pPr>
      <w:r>
        <w:rPr>
          <w:sz w:val="21"/>
          <w:szCs w:val="21"/>
        </w:rPr>
        <w:t xml:space="preserve">Conviene empezar por lo que este trabajo hace bien, porque no es poco y porque el plan de corrección se apoya en ello. La redacción es clara y competente. El capítulo metodológico sigue el marco de Yin con las cuatro amenazas clásicas a la validez y una mitigación declarada para cada una. La sección 2.1.3 discute con madurez poco habitual si tiene sentido trasladar MTTD y MTTR desde la gestión de incidentes al ciclo post-venta, reconoce que una orden exitosa no es una falla, acota la analogía a lo estructural y admite que existen métricas más apropiadas del dominio. La sección 5.4.1 es una sección de limitaciones sólida, que cita correctamente alucinación e inyección de prompt y que reconoce por escrito que no se calcularon intervalos de confianza. La sección 7.1 identifica con precisión lo que falta para producción. Y la aritmética interna de la tabla de precisión por intent es impecable: la verifiqué celda por celda y cierra en todos los redondeos.</w:t>
      </w:r>
    </w:p>
    <w:p>
      <w:pPr>
        <w:spacing w:after="140" w:line="276"/>
      </w:pPr>
      <w:r>
        <w:rPr>
          <w:sz w:val="21"/>
          <w:szCs w:val="21"/>
        </w:rPr>
        <w:t xml:space="preserve">El problema está en otro lado, y es serio. Las capturas de pantalla que el trabajo publica como evidencia contradicen numéricamente las tablas de resultados, en algunos casos de forma aritméticamente imposible. Una misma imagen se presenta dos veces con rótulos distintos: una como configuración en el Capítulo 4 y otra como resultado experimental en el Capítulo 5 —lo verifiqué por huella criptográfica, son el mismo objeto—. El sistema que muestran las capturas no es el sistema que describe el texto: el chatbot que el trabajo llama omnicanal tiene un solo canal, simulado. Y el titular cuantitativo del capítulo de resultados contiene errores de magnitud de un factor seis y un factor diez.</w:t>
      </w:r>
    </w:p>
    <w:p>
      <w:pPr>
        <w:spacing w:after="140" w:line="276"/>
      </w:pPr>
      <w:r>
        <w:rPr>
          <w:sz w:val="21"/>
          <w:szCs w:val="21"/>
        </w:rPr>
        <w:t xml:space="preserve">A eso se suma un hallazgo de integridad bibliográfica: la referencia que sostiene el umbral del 85 % —criterio de aceptación de una de las tres hipótesis— atribuye un artículo de EMNLP 2021 a dos autores que no lo escribieron, y la entrada tal como está redactada no corresponde a ninguna publicación existente.</w:t>
      </w:r>
    </w:p>
    <w:p>
      <w:pPr>
        <w:spacing w:after="140" w:line="276"/>
      </w:pPr>
      <w:r>
        <w:rPr>
          <w:sz w:val="21"/>
          <w:szCs w:val="21"/>
        </w:rPr>
        <w:t xml:space="preserve">Se trata de la quinta versión del documento. Eso importa para el diagnóstico: los defectos que restan no son de redacción apurada sino de conciliación entre lo que se construyó, lo que se midió y lo que se escribió. Ninguno exige rehacer el sistema; casi todos exigen volver a los datos y a las consultas SQL que los produjeron.</w:t>
      </w:r>
    </w:p>
    <w:p>
      <w:pPr>
        <w:pStyle w:val="Heading2"/>
        <w:spacing w:after="120" w:before="250"/>
      </w:pPr>
      <w:r>
        <w:rPr>
          <w:b/>
          <w:bCs/>
          <w:color w:val="2E5496"/>
          <w:sz w:val="23"/>
          <w:szCs w:val="23"/>
        </w:rPr>
        <w:t xml:space="preserve">Distribución de hallazgos</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100"/>
        <w:gridCol w:w="1400"/>
        <w:gridCol w:w="5526"/>
      </w:tblGrid>
      <w:tr>
        <w:trPr>
          <w:tblHeader/>
        </w:trPr>
        <w:tc>
          <w:tcPr>
            <w:tcW w:type="dxa" w:w="2100"/>
            <w:shd w:fill="DCE6F1" w:color="auto" w:val="clear"/>
            <w:tcMar>
              <w:top w:type="dxa" w:w="50"/>
              <w:left w:type="dxa" w:w="80"/>
              <w:bottom w:type="dxa" w:w="50"/>
              <w:right w:type="dxa" w:w="80"/>
            </w:tcMar>
            <w:vAlign w:val="top"/>
          </w:tcPr>
          <w:p>
            <w:pPr>
              <w:spacing w:after="40" w:before="40" w:line="252"/>
            </w:pPr>
            <w:r>
              <w:rPr>
                <w:b/>
                <w:bCs/>
                <w:sz w:val="18"/>
                <w:szCs w:val="18"/>
              </w:rPr>
              <w:t xml:space="preserve">Severidad</w:t>
            </w:r>
          </w:p>
        </w:tc>
        <w:tc>
          <w:tcPr>
            <w:tcW w:type="dxa" w:w="1400"/>
            <w:shd w:fill="DCE6F1" w:color="auto" w:val="clear"/>
            <w:tcMar>
              <w:top w:type="dxa" w:w="50"/>
              <w:left w:type="dxa" w:w="80"/>
              <w:bottom w:type="dxa" w:w="50"/>
              <w:right w:type="dxa" w:w="80"/>
            </w:tcMar>
            <w:vAlign w:val="top"/>
          </w:tcPr>
          <w:p>
            <w:pPr>
              <w:spacing w:after="40" w:before="40" w:line="252"/>
            </w:pPr>
            <w:r>
              <w:rPr>
                <w:b/>
                <w:bCs/>
                <w:sz w:val="18"/>
                <w:szCs w:val="18"/>
              </w:rPr>
              <w:t xml:space="preserve">Cantidad</w:t>
            </w:r>
          </w:p>
        </w:tc>
        <w:tc>
          <w:tcPr>
            <w:tcW w:type="dxa" w:w="5526"/>
            <w:shd w:fill="DCE6F1" w:color="auto" w:val="clear"/>
            <w:tcMar>
              <w:top w:type="dxa" w:w="50"/>
              <w:left w:type="dxa" w:w="80"/>
              <w:bottom w:type="dxa" w:w="50"/>
              <w:right w:type="dxa" w:w="80"/>
            </w:tcMar>
            <w:vAlign w:val="top"/>
          </w:tcPr>
          <w:p>
            <w:pPr>
              <w:spacing w:after="40" w:before="40" w:line="252"/>
            </w:pPr>
            <w:r>
              <w:rPr>
                <w:b/>
                <w:bCs/>
                <w:sz w:val="18"/>
                <w:szCs w:val="18"/>
              </w:rPr>
              <w:t xml:space="preserve">Naturaleza dominante</w:t>
            </w:r>
          </w:p>
        </w:tc>
      </w:tr>
      <w:tr>
        <w:tc>
          <w:tcPr>
            <w:tcW w:type="dxa" w:w="2100"/>
            <w:tcMar>
              <w:top w:type="dxa" w:w="50"/>
              <w:left w:type="dxa" w:w="80"/>
              <w:bottom w:type="dxa" w:w="50"/>
              <w:right w:type="dxa" w:w="80"/>
            </w:tcMar>
            <w:vAlign w:val="top"/>
          </w:tcPr>
          <w:p>
            <w:pPr>
              <w:spacing w:after="40" w:before="40" w:line="252"/>
            </w:pPr>
            <w:r>
              <w:rPr>
                <w:b/>
                <w:bCs/>
                <w:sz w:val="18"/>
                <w:szCs w:val="18"/>
              </w:rPr>
              <w:t xml:space="preserve">Crítico</w:t>
            </w:r>
          </w:p>
        </w:tc>
        <w:tc>
          <w:tcPr>
            <w:tcW w:type="dxa" w:w="1400"/>
            <w:tcMar>
              <w:top w:type="dxa" w:w="50"/>
              <w:left w:type="dxa" w:w="80"/>
              <w:bottom w:type="dxa" w:w="50"/>
              <w:right w:type="dxa" w:w="80"/>
            </w:tcMar>
            <w:vAlign w:val="top"/>
          </w:tcPr>
          <w:p>
            <w:pPr>
              <w:spacing w:after="40" w:before="40" w:line="252"/>
              <w:jc w:val="center"/>
            </w:pPr>
            <w:r>
              <w:rPr>
                <w:b w:val="false"/>
                <w:bCs w:val="false"/>
                <w:sz w:val="18"/>
                <w:szCs w:val="18"/>
              </w:rPr>
              <w:t xml:space="preserve">9</w:t>
            </w:r>
          </w:p>
        </w:tc>
        <w:tc>
          <w:tcPr>
            <w:tcW w:type="dxa" w:w="5526"/>
            <w:tcMar>
              <w:top w:type="dxa" w:w="50"/>
              <w:left w:type="dxa" w:w="80"/>
              <w:bottom w:type="dxa" w:w="50"/>
              <w:right w:type="dxa" w:w="80"/>
            </w:tcMar>
            <w:vAlign w:val="top"/>
          </w:tcPr>
          <w:p>
            <w:pPr>
              <w:spacing w:after="40" w:before="40" w:line="252"/>
            </w:pPr>
            <w:r>
              <w:rPr>
                <w:b w:val="false"/>
                <w:bCs w:val="false"/>
                <w:sz w:val="18"/>
                <w:szCs w:val="18"/>
              </w:rPr>
              <w:t xml:space="preserve">Contradicción entre las capturas de evidencia y las tablas de resultados, alcance real del Flujo 2, errores de magnitud en el resultado principal y una referencia con autoría que no corresponde</w:t>
            </w:r>
          </w:p>
        </w:tc>
      </w:tr>
      <w:tr>
        <w:tc>
          <w:tcPr>
            <w:tcW w:type="dxa" w:w="2100"/>
            <w:shd w:fill="F4F7FB" w:color="auto" w:val="clear"/>
            <w:tcMar>
              <w:top w:type="dxa" w:w="50"/>
              <w:left w:type="dxa" w:w="80"/>
              <w:bottom w:type="dxa" w:w="50"/>
              <w:right w:type="dxa" w:w="80"/>
            </w:tcMar>
            <w:vAlign w:val="top"/>
          </w:tcPr>
          <w:p>
            <w:pPr>
              <w:spacing w:after="40" w:before="40" w:line="252"/>
            </w:pPr>
            <w:r>
              <w:rPr>
                <w:b/>
                <w:bCs/>
                <w:sz w:val="18"/>
                <w:szCs w:val="18"/>
              </w:rPr>
              <w:t xml:space="preserve">Alto</w:t>
            </w:r>
          </w:p>
        </w:tc>
        <w:tc>
          <w:tcPr>
            <w:tcW w:type="dxa" w:w="1400"/>
            <w:shd w:fill="F4F7FB" w:color="auto" w:val="clear"/>
            <w:tcMar>
              <w:top w:type="dxa" w:w="50"/>
              <w:left w:type="dxa" w:w="80"/>
              <w:bottom w:type="dxa" w:w="50"/>
              <w:right w:type="dxa" w:w="80"/>
            </w:tcMar>
            <w:vAlign w:val="top"/>
          </w:tcPr>
          <w:p>
            <w:pPr>
              <w:spacing w:after="40" w:before="40" w:line="252"/>
              <w:jc w:val="center"/>
            </w:pPr>
            <w:r>
              <w:rPr>
                <w:b w:val="false"/>
                <w:bCs w:val="false"/>
                <w:sz w:val="18"/>
                <w:szCs w:val="18"/>
              </w:rPr>
              <w:t xml:space="preserve">12</w:t>
            </w:r>
          </w:p>
        </w:tc>
        <w:tc>
          <w:tcPr>
            <w:tcW w:type="dxa" w:w="552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Contrastación estadística no sostenida, ground truth circular, exposición de datos personales, defectos de modelado y confusión entre métricas de clasificación</w:t>
            </w:r>
          </w:p>
        </w:tc>
      </w:tr>
      <w:tr>
        <w:tc>
          <w:tcPr>
            <w:tcW w:type="dxa" w:w="2100"/>
            <w:tcMar>
              <w:top w:type="dxa" w:w="50"/>
              <w:left w:type="dxa" w:w="80"/>
              <w:bottom w:type="dxa" w:w="50"/>
              <w:right w:type="dxa" w:w="80"/>
            </w:tcMar>
            <w:vAlign w:val="top"/>
          </w:tcPr>
          <w:p>
            <w:pPr>
              <w:spacing w:after="40" w:before="40" w:line="252"/>
            </w:pPr>
            <w:r>
              <w:rPr>
                <w:b/>
                <w:bCs/>
                <w:sz w:val="18"/>
                <w:szCs w:val="18"/>
              </w:rPr>
              <w:t xml:space="preserve">Medio</w:t>
            </w:r>
          </w:p>
        </w:tc>
        <w:tc>
          <w:tcPr>
            <w:tcW w:type="dxa" w:w="1400"/>
            <w:tcMar>
              <w:top w:type="dxa" w:w="50"/>
              <w:left w:type="dxa" w:w="80"/>
              <w:bottom w:type="dxa" w:w="50"/>
              <w:right w:type="dxa" w:w="80"/>
            </w:tcMar>
            <w:vAlign w:val="top"/>
          </w:tcPr>
          <w:p>
            <w:pPr>
              <w:spacing w:after="40" w:before="40" w:line="252"/>
              <w:jc w:val="center"/>
            </w:pPr>
            <w:r>
              <w:rPr>
                <w:b w:val="false"/>
                <w:bCs w:val="false"/>
                <w:sz w:val="18"/>
                <w:szCs w:val="18"/>
              </w:rPr>
              <w:t xml:space="preserve">10</w:t>
            </w:r>
          </w:p>
        </w:tc>
        <w:tc>
          <w:tcPr>
            <w:tcW w:type="dxa" w:w="5526"/>
            <w:tcMar>
              <w:top w:type="dxa" w:w="50"/>
              <w:left w:type="dxa" w:w="80"/>
              <w:bottom w:type="dxa" w:w="50"/>
              <w:right w:type="dxa" w:w="80"/>
            </w:tcMar>
            <w:vAlign w:val="top"/>
          </w:tcPr>
          <w:p>
            <w:pPr>
              <w:spacing w:after="40" w:before="40" w:line="252"/>
            </w:pPr>
            <w:r>
              <w:rPr>
                <w:b w:val="false"/>
                <w:bCs w:val="false"/>
                <w:sz w:val="18"/>
                <w:szCs w:val="18"/>
              </w:rPr>
              <w:t xml:space="preserve">Discrepancias de conteo entre secciones, reproducibilidad del entorno, operacionalización ambigua de las métricas y credenciales por defecto</w:t>
            </w:r>
          </w:p>
        </w:tc>
      </w:tr>
      <w:tr>
        <w:tc>
          <w:tcPr>
            <w:tcW w:type="dxa" w:w="2100"/>
            <w:shd w:fill="F4F7FB" w:color="auto" w:val="clear"/>
            <w:tcMar>
              <w:top w:type="dxa" w:w="50"/>
              <w:left w:type="dxa" w:w="80"/>
              <w:bottom w:type="dxa" w:w="50"/>
              <w:right w:type="dxa" w:w="80"/>
            </w:tcMar>
            <w:vAlign w:val="top"/>
          </w:tcPr>
          <w:p>
            <w:pPr>
              <w:spacing w:after="40" w:before="40" w:line="252"/>
            </w:pPr>
            <w:r>
              <w:rPr>
                <w:b/>
                <w:bCs/>
                <w:sz w:val="18"/>
                <w:szCs w:val="18"/>
              </w:rPr>
              <w:t xml:space="preserve">Bajo</w:t>
            </w:r>
          </w:p>
        </w:tc>
        <w:tc>
          <w:tcPr>
            <w:tcW w:type="dxa" w:w="1400"/>
            <w:shd w:fill="F4F7FB" w:color="auto" w:val="clear"/>
            <w:tcMar>
              <w:top w:type="dxa" w:w="50"/>
              <w:left w:type="dxa" w:w="80"/>
              <w:bottom w:type="dxa" w:w="50"/>
              <w:right w:type="dxa" w:w="80"/>
            </w:tcMar>
            <w:vAlign w:val="top"/>
          </w:tcPr>
          <w:p>
            <w:pPr>
              <w:spacing w:after="40" w:before="40" w:line="252"/>
              <w:jc w:val="center"/>
            </w:pPr>
            <w:r>
              <w:rPr>
                <w:b w:val="false"/>
                <w:bCs w:val="false"/>
                <w:sz w:val="18"/>
                <w:szCs w:val="18"/>
              </w:rPr>
              <w:t xml:space="preserve">8</w:t>
            </w:r>
          </w:p>
        </w:tc>
        <w:tc>
          <w:tcPr>
            <w:tcW w:type="dxa" w:w="552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Formato bibliográfico, índice, artefactos de conversión y rotulado de figuras</w:t>
            </w:r>
          </w:p>
        </w:tc>
      </w:tr>
      <w:tr>
        <w:tc>
          <w:tcPr>
            <w:tcW w:type="dxa" w:w="2100"/>
            <w:tcMar>
              <w:top w:type="dxa" w:w="50"/>
              <w:left w:type="dxa" w:w="80"/>
              <w:bottom w:type="dxa" w:w="50"/>
              <w:right w:type="dxa" w:w="80"/>
            </w:tcMar>
            <w:vAlign w:val="top"/>
          </w:tcPr>
          <w:p>
            <w:pPr>
              <w:spacing w:after="40" w:before="40" w:line="252"/>
            </w:pPr>
            <w:r>
              <w:rPr>
                <w:b/>
                <w:bCs/>
                <w:sz w:val="18"/>
                <w:szCs w:val="18"/>
              </w:rPr>
              <w:t xml:space="preserve">TOTAL</w:t>
            </w:r>
          </w:p>
        </w:tc>
        <w:tc>
          <w:tcPr>
            <w:tcW w:type="dxa" w:w="1400"/>
            <w:tcMar>
              <w:top w:type="dxa" w:w="50"/>
              <w:left w:type="dxa" w:w="80"/>
              <w:bottom w:type="dxa" w:w="50"/>
              <w:right w:type="dxa" w:w="80"/>
            </w:tcMar>
            <w:vAlign w:val="top"/>
          </w:tcPr>
          <w:p>
            <w:pPr>
              <w:spacing w:after="40" w:before="40" w:line="252"/>
              <w:jc w:val="center"/>
            </w:pPr>
            <w:r>
              <w:rPr>
                <w:b w:val="false"/>
                <w:bCs w:val="false"/>
                <w:sz w:val="18"/>
                <w:szCs w:val="18"/>
              </w:rPr>
              <w:t xml:space="preserve">39</w:t>
            </w:r>
          </w:p>
        </w:tc>
        <w:tc>
          <w:tcPr>
            <w:tcW w:type="dxa" w:w="5526"/>
            <w:tcMar>
              <w:top w:type="dxa" w:w="50"/>
              <w:left w:type="dxa" w:w="80"/>
              <w:bottom w:type="dxa" w:w="50"/>
              <w:right w:type="dxa" w:w="80"/>
            </w:tcMar>
            <w:vAlign w:val="top"/>
          </w:tcPr>
          <w:p>
            <w:pPr>
              <w:spacing w:after="40" w:before="40" w:line="252"/>
            </w:pPr>
            <w:r>
              <w:rPr>
                <w:b w:val="false"/>
                <w:bCs w:val="false"/>
                <w:sz w:val="18"/>
                <w:szCs w:val="18"/>
              </w:rPr>
              <w:t xml:space="preserve"/>
            </w:r>
          </w:p>
        </w:tc>
      </w:tr>
    </w:tbl>
    <w:p>
      <w:pPr>
        <w:spacing w:after="140"/>
      </w:pPr>
    </w:p>
    <w:p>
      <w:pPr>
        <w:pStyle w:val="Heading1"/>
        <w:spacing w:after="160" w:before="340"/>
      </w:pPr>
      <w:r>
        <w:rPr>
          <w:b/>
          <w:bCs/>
          <w:color w:val="1F3864"/>
          <w:sz w:val="28"/>
          <w:szCs w:val="28"/>
        </w:rPr>
        <w:t xml:space="preserve">2. Fortalezas del trabajo</w:t>
      </w:r>
    </w:p>
    <w:p>
      <w:pPr>
        <w:pStyle w:val="ListParagraph"/>
        <w:numPr>
          <w:ilvl w:val="0"/>
          <w:numId w:val="2"/>
        </w:numPr>
        <w:spacing w:after="100" w:line="276"/>
      </w:pPr>
      <w:r>
        <w:rPr>
          <w:b/>
          <w:bCs/>
          <w:sz w:val="21"/>
          <w:szCs w:val="21"/>
        </w:rPr>
        <w:t xml:space="preserve">Honestidad metodológica sobre la transferencia de métricas. </w:t>
      </w:r>
      <w:r>
        <w:rPr>
          <w:sz w:val="21"/>
          <w:szCs w:val="21"/>
        </w:rPr>
        <w:t xml:space="preserve">La sección 2.1.3 podría haber dado por sentado que MTTD y MTTR se aplican al comercio electrónico. En cambio discute el problema de frente: reconoce que en la gestión de incidentes ambas miden fallas mientras que una orden exitosa es flujo nominal, califica la transferencia como analogía estructural y no semántica, y admite que el tiempo de ciclo de orden podría reemplazarlas. Es el mejor párrafo del marco teórico y desactiva por anticipado la objeción más obvia del tribunal.</w:t>
      </w:r>
    </w:p>
    <w:p>
      <w:pPr>
        <w:pStyle w:val="ListParagraph"/>
        <w:numPr>
          <w:ilvl w:val="0"/>
          <w:numId w:val="2"/>
        </w:numPr>
        <w:spacing w:after="100" w:line="276"/>
      </w:pPr>
      <w:r>
        <w:rPr>
          <w:b/>
          <w:bCs/>
          <w:sz w:val="21"/>
          <w:szCs w:val="21"/>
        </w:rPr>
        <w:t xml:space="preserve">Sección de limitaciones bien construida. </w:t>
      </w:r>
      <w:r>
        <w:rPr>
          <w:sz w:val="21"/>
          <w:szCs w:val="21"/>
        </w:rPr>
        <w:t xml:space="preserve">La 5.4.1 trata la dependencia de la API externa, la alucinación y la inyección de prompt con citas pertinentes y verificadas como correctas, reconoce la heterogeneidad de la precisión entre subcategorías y declara explícitamente que no se calcularon intervalos de confianza ni pruebas de hipótesis. Reconocer la propia carencia estadística por escrito es infrecuente.</w:t>
      </w:r>
    </w:p>
    <w:p>
      <w:pPr>
        <w:pStyle w:val="ListParagraph"/>
        <w:numPr>
          <w:ilvl w:val="0"/>
          <w:numId w:val="2"/>
        </w:numPr>
        <w:spacing w:after="100" w:line="276"/>
      </w:pPr>
      <w:r>
        <w:rPr>
          <w:b/>
          <w:bCs/>
          <w:sz w:val="21"/>
          <w:szCs w:val="21"/>
        </w:rPr>
        <w:t xml:space="preserve">Reconocimiento de la subcategoría que no alcanza el umbral. </w:t>
      </w:r>
      <w:r>
        <w:rPr>
          <w:sz w:val="21"/>
          <w:szCs w:val="21"/>
        </w:rPr>
        <w:t xml:space="preserve">La sección 5.3 señala por iniciativa propia que GENERAL queda en 83,3 %, por debajo del umbral del 85 %, y argumenta por qué toma el promedio global como criterio, en lugar de omitir el dato.</w:t>
      </w:r>
    </w:p>
    <w:p>
      <w:pPr>
        <w:pStyle w:val="ListParagraph"/>
        <w:numPr>
          <w:ilvl w:val="0"/>
          <w:numId w:val="2"/>
        </w:numPr>
        <w:spacing w:after="100" w:line="276"/>
      </w:pPr>
      <w:r>
        <w:rPr>
          <w:b/>
          <w:bCs/>
          <w:sz w:val="21"/>
          <w:szCs w:val="21"/>
        </w:rPr>
        <w:t xml:space="preserve">Amenazas a la validez según el marco de Yin. </w:t>
      </w:r>
      <w:r>
        <w:rPr>
          <w:sz w:val="21"/>
          <w:szCs w:val="21"/>
        </w:rPr>
        <w:t xml:space="preserve">La sección 3.6 desarrolla constructo, validez interna, validez externa y confiabilidad con una mitigación declarada para cada una. La estructura es correcta, aunque dos de las mitigaciones no se cumplan en los hechos.</w:t>
      </w:r>
    </w:p>
    <w:p>
      <w:pPr>
        <w:pStyle w:val="ListParagraph"/>
        <w:numPr>
          <w:ilvl w:val="0"/>
          <w:numId w:val="2"/>
        </w:numPr>
        <w:spacing w:after="100" w:line="276"/>
      </w:pPr>
      <w:r>
        <w:rPr>
          <w:b/>
          <w:bCs/>
          <w:sz w:val="21"/>
          <w:szCs w:val="21"/>
        </w:rPr>
        <w:t xml:space="preserve">Aritmética interna de la tabla de clasificación. </w:t>
      </w:r>
      <w:r>
        <w:rPr>
          <w:sz w:val="21"/>
          <w:szCs w:val="21"/>
        </w:rPr>
        <w:t xml:space="preserve">Verificada celda por celda: 26/27, 30/32, 11/12 y 30/36 dan exactamente 96,3 %, 93,8 %, 91,7 % y 83,3 %; los aciertos suman 97, los errores 10, el total 107 y el global 90,65 % redondea correctamente a 90,7 %. Los tamaños de submuestra son consistentes en las seis secciones donde aparecen, y la reconciliación de las veinte órdenes de carga con las doce de precarga está explicada de forma explícita y correcta.</w:t>
      </w:r>
    </w:p>
    <w:p>
      <w:pPr>
        <w:pStyle w:val="ListParagraph"/>
        <w:numPr>
          <w:ilvl w:val="0"/>
          <w:numId w:val="2"/>
        </w:numPr>
        <w:spacing w:after="100" w:line="276"/>
      </w:pPr>
      <w:r>
        <w:rPr>
          <w:b/>
          <w:bCs/>
          <w:sz w:val="21"/>
          <w:szCs w:val="21"/>
        </w:rPr>
        <w:t xml:space="preserve">Ausencia de filtración de secretos críticos. </w:t>
      </w:r>
      <w:r>
        <w:rPr>
          <w:sz w:val="21"/>
          <w:szCs w:val="21"/>
        </w:rPr>
        <w:t xml:space="preserve">Se buscó de forma exhaustiva en el texto y en las capturas a alta resolución: no hay claves de la API de OpenAI, ni tokens de bot, ni contraseñas de base de datos. La nota de la figura de producción menciona los requisitos de credenciales sin exponerlas. Está bien resuelto.</w:t>
      </w:r>
    </w:p>
    <w:p>
      <w:pPr>
        <w:pStyle w:val="ListParagraph"/>
        <w:numPr>
          <w:ilvl w:val="0"/>
          <w:numId w:val="2"/>
        </w:numPr>
        <w:spacing w:after="100" w:line="276"/>
      </w:pPr>
      <w:r>
        <w:rPr>
          <w:b/>
          <w:bCs/>
          <w:sz w:val="21"/>
          <w:szCs w:val="21"/>
        </w:rPr>
        <w:t xml:space="preserve">Decisiones técnicas correctas. </w:t>
      </w:r>
      <w:r>
        <w:rPr>
          <w:sz w:val="21"/>
          <w:szCs w:val="21"/>
        </w:rPr>
        <w:t xml:space="preserve">Uso de un capturador SMTP local para no emitir correo real durante las pruebas; tipo numérico de precisión fija para importes en lugar de coma flotante; red bridge dedicada con resolución por nombre de servicio; volúmenes nombrados persistentes; y un diagrama entidad-relación bien construido, con tipos, claves y cardinalidades.</w:t>
      </w:r>
    </w:p>
    <w:p>
      <w:pPr>
        <w:pStyle w:val="ListParagraph"/>
        <w:numPr>
          <w:ilvl w:val="0"/>
          <w:numId w:val="2"/>
        </w:numPr>
        <w:spacing w:after="100" w:line="276"/>
      </w:pPr>
      <w:r>
        <w:rPr>
          <w:b/>
          <w:bCs/>
          <w:sz w:val="21"/>
          <w:szCs w:val="21"/>
        </w:rPr>
        <w:t xml:space="preserve">Recomendaciones de producción pertinentes. </w:t>
      </w:r>
      <w:r>
        <w:rPr>
          <w:sz w:val="21"/>
          <w:szCs w:val="21"/>
        </w:rPr>
        <w:t xml:space="preserve">La sección 7.1 identifica correctamente lo que falta: autenticación de webhooks, limitación de tasa, cortacircuitos, caché y evaluación de modelos locales. Es la sección mejor calificada del trabajo.</w:t>
      </w:r>
    </w:p>
    <w:p>
      <w:pPr>
        <w:pStyle w:val="ListParagraph"/>
        <w:numPr>
          <w:ilvl w:val="0"/>
          <w:numId w:val="2"/>
        </w:numPr>
        <w:spacing w:after="100" w:line="276"/>
      </w:pPr>
      <w:r>
        <w:rPr>
          <w:b/>
          <w:bCs/>
          <w:sz w:val="21"/>
          <w:szCs w:val="21"/>
        </w:rPr>
        <w:t xml:space="preserve">Bibliografía sin residuos de la norma anterior. </w:t>
      </w:r>
      <w:r>
        <w:rPr>
          <w:sz w:val="21"/>
          <w:szCs w:val="21"/>
        </w:rPr>
        <w:t xml:space="preserve">No aparece «Recuperado de» ni una sola vez, no se conserva lugar de edición, los cinco DOI usan el formato de URL vigente y el orden alfabético dentro de cada sección es correcto sin rupturas, incluidos los casos delicados. Y todas las afirmaciones sobre el modelo de lenguaje empleado fueron verificadas contra la documentación oficial: son correctas.</w:t>
      </w:r>
    </w:p>
    <w:p>
      <w:pPr>
        <w:pStyle w:val="Heading1"/>
        <w:spacing w:after="160" w:before="340"/>
      </w:pPr>
      <w:r>
        <w:rPr>
          <w:b/>
          <w:bCs/>
          <w:color w:val="1F3864"/>
          <w:sz w:val="28"/>
          <w:szCs w:val="28"/>
        </w:rPr>
        <w:t xml:space="preserve">3. Hallazgos críticos</w:t>
      </w:r>
    </w:p>
    <w:p>
      <w:pPr>
        <w:pStyle w:val="Heading2"/>
        <w:spacing w:after="120" w:before="250"/>
      </w:pPr>
      <w:r>
        <w:rPr>
          <w:b/>
          <w:bCs/>
          <w:color w:val="2E5496"/>
          <w:sz w:val="23"/>
          <w:szCs w:val="23"/>
        </w:rPr>
        <w:t xml:space="preserve">C-01 — El Flujo 2 no es omnicanal</w:t>
      </w:r>
    </w:p>
    <w:p>
      <w:pPr>
        <w:spacing w:after="140" w:line="276"/>
      </w:pPr>
      <w:r>
        <w:rPr>
          <w:sz w:val="21"/>
          <w:szCs w:val="21"/>
        </w:rPr>
        <w:t xml:space="preserve">El canvas real que el trabajo publica muestra un único disparador, un webhook de WhatsApp, y una cadena que termina en un nodo llamado explícitamente «Enviar Respuesta (Simulado)». Son trece nodos más un subnodo. No existen en el flujo ejecutado el disparador de Telegram, el de correo, el nodo de unificación de canales, el condicional de urgencia, la notificación al administrador ni el enrutador por canal.</w:t>
      </w:r>
    </w:p>
    <w:p>
      <w:pPr>
        <w:spacing w:after="140" w:line="276"/>
      </w:pPr>
      <w:r>
        <w:rPr>
          <w:sz w:val="21"/>
          <w:szCs w:val="21"/>
        </w:rPr>
        <w:t xml:space="preserve">Esto contradice cinco lugares del documento: el resumen, que anuncia un chatbot omnicanal de unos veintiún nodos que unifica WhatsApp, Telegram y correo; el objetivo específico 2, que promete lo mismo; la tabla de nodos del Capítulo 4, que enumera los veintiuno incluyendo los tres disparadores y los tres nodos de envío; el título de la sección 5.2, «Resultados del Flujo 2 — Chatbot Omnicanal»; y la sección 6.2, que declara el objetivo 2 cumplido. La única admisión está enterrada en el Anexo F, que menciona entre paréntesis «webhook WhatsApp simulado», y en la sección 7.1, donde se aclara que los disparadores reales solo existen en un archivo de producción que nunca se ejecutó.</w:t>
      </w:r>
    </w:p>
    <w:p>
      <w:pPr>
        <w:spacing w:after="140" w:line="276"/>
      </w:pPr>
      <w:r>
        <w:rPr>
          <w:sz w:val="21"/>
          <w:szCs w:val="21"/>
        </w:rPr>
        <w:t xml:space="preserve">La consecuencia alcanza a los resultados: todo el tiempo medio de respuesta reportado corresponde a un solo canal, con envío simulado, y no puede extrapolarse a la arquitectura que el trabajo afirma haber construido. Hay además una implicancia técnica que conviene anticipar: el disparador de correo documentado en la tabla de nodos es, en la plataforma empleada, un consultor periódico con intervalo mínimo de un minuto. Si ese canal se hubiera implementado, su tiempo de respuesta habría tenido un piso de decenas de segundos, incompatible por dos órdenes de magnitud con los 2,38 segundos reportados.</w:t>
      </w:r>
    </w:p>
    <w:p>
      <w:pPr>
        <w:pStyle w:val="Heading2"/>
        <w:spacing w:after="120" w:before="250"/>
      </w:pPr>
      <w:r>
        <w:rPr>
          <w:b/>
          <w:bCs/>
          <w:color w:val="2E5496"/>
          <w:sz w:val="23"/>
          <w:szCs w:val="23"/>
        </w:rPr>
        <w:t xml:space="preserve">C-02 — Dos figuras distintas son la misma imagen</w:t>
      </w:r>
    </w:p>
    <w:p>
      <w:pPr>
        <w:spacing w:after="140" w:line="276"/>
      </w:pPr>
      <w:r>
        <w:rPr>
          <w:sz w:val="21"/>
          <w:szCs w:val="21"/>
        </w:rPr>
        <w:t xml:space="preserve">La Figura 3 de la sección 4.5 y la Figura 5 de la sección 5.1 son el mismo objeto del PDF. Lo verifiqué extrayendo ambas y comparando su huella criptográfica: idéntica, y el mismo tamaño exacto de archivo. La primera se presenta como evidencia de configuración —«los siete paneles activos alimentados desde las vistas PostgreSQL en tiempo real»— y la segunda como evidencia de resultado experimental, con los valores de la prueba. Una de las dos debe eliminarse.</w:t>
      </w:r>
    </w:p>
    <w:p>
      <w:pPr>
        <w:pStyle w:val="Heading2"/>
        <w:spacing w:after="120" w:before="250"/>
      </w:pPr>
      <w:r>
        <w:rPr>
          <w:b/>
          <w:bCs/>
          <w:color w:val="2E5496"/>
          <w:sz w:val="23"/>
          <w:szCs w:val="23"/>
        </w:rPr>
        <w:t xml:space="preserve">C-03 — La captura del dashboard contradice la tabla de la prueba de carga</w:t>
      </w:r>
    </w:p>
    <w:p>
      <w:pPr>
        <w:spacing w:after="140" w:line="276"/>
      </w:pPr>
      <w:r>
        <w:rPr>
          <w:sz w:val="21"/>
          <w:szCs w:val="21"/>
        </w:rPr>
        <w:t xml:space="preserve">En la imagen se leen sin ambigüedad tres indicadores: total de órdenes 32, confirmadas 19, sin stock 7. La tabla de la sección 5.1 declara, para la prueba de carga, doce órdenes confirmadas (60 %) y ocho sin stock (40 %). Hay dos incompatibilidades duras. La primera: 19 más 7 son 26, no 32, de modo que seis órdenes quedan en estados que el trabajo no reporta, pese a afirmar que se procesaron veinte de veinte. La segunda: el dashboard registra siete órdenes sin stock en el total acumulado del sistema, mientras el texto atribuye ocho solamente a la prueba de carga. Un total no puede ser menor que una de sus partes.</w:t>
      </w:r>
    </w:p>
    <w:p>
      <w:pPr>
        <w:pStyle w:val="Heading2"/>
        <w:spacing w:after="120" w:before="250"/>
      </w:pPr>
      <w:r>
        <w:rPr>
          <w:b/>
          <w:bCs/>
          <w:color w:val="2E5496"/>
          <w:sz w:val="23"/>
          <w:szCs w:val="23"/>
        </w:rPr>
        <w:t xml:space="preserve">C-04 — La figura del chatbot es aritméticamente imposible</w:t>
      </w:r>
    </w:p>
    <w:p>
      <w:pPr>
        <w:spacing w:after="140" w:line="276"/>
      </w:pPr>
      <w:r>
        <w:rPr>
          <w:sz w:val="21"/>
          <w:szCs w:val="21"/>
        </w:rPr>
        <w:t xml:space="preserve">Los indicadores de la Figura 6 son: 107 interacciones totales, 37 tickets generados, 19 urgentes, 36 preguntas frecuentes resueltas y 36 reclamos. Contrastados con la tabla de clasificación, donde los aciertos por clase son 26, 30, 11 y 30, el mínimo de predicciones para cada clase es su número de aciertos. Si la clase de preguntas frecuentes tiene 36 predicciones y la de reclamos otras 36, el total mínimo sería 36 más 36 más 11 más 30, es decir 113, por encima de las 107 interacciones existentes. No hay lectura que lo reconcilie.</w:t>
      </w:r>
    </w:p>
    <w:p>
      <w:pPr>
        <w:spacing w:after="140" w:line="276"/>
      </w:pPr>
      <w:r>
        <w:rPr>
          <w:sz w:val="21"/>
          <w:szCs w:val="21"/>
        </w:rPr>
        <w:t xml:space="preserve">Los tickets tampoco cierran en ninguna de las tres fuentes: el texto declara 32, la figura muestra 37 y la tabla de intents registra 32 mensajes de reclamo. Además 37 tickets sobre 36 reclamos es incompatible con la regla de un ticket por reclamo que el propio flujo implementa.</w:t>
      </w:r>
    </w:p>
    <w:p>
      <w:pPr>
        <w:pStyle w:val="Heading2"/>
        <w:spacing w:after="120" w:before="250"/>
      </w:pPr>
      <w:r>
        <w:rPr>
          <w:b/>
          <w:bCs/>
          <w:color w:val="2E5496"/>
          <w:sz w:val="23"/>
          <w:szCs w:val="23"/>
        </w:rPr>
        <w:t xml:space="preserve">C-05 — Los promedios de latencia son incompatibles con la serie diaria del mismo dashboard</w:t>
      </w:r>
    </w:p>
    <w:p>
      <w:pPr>
        <w:spacing w:after="140" w:line="276"/>
      </w:pPr>
      <w:r>
        <w:rPr>
          <w:sz w:val="21"/>
          <w:szCs w:val="21"/>
        </w:rPr>
        <w:t xml:space="preserve">El panel de evolución diaria de la Figura 3/5 muestra la serie de tiempo medio de resolución oscilando entre once y veintinueve segundos a lo largo del período, con un pico cercano a los veintinueve. El indicador de promedio global, en la misma imagen, declara 7,69 segundos. Un promedio no puede ser inferior a todos los valores diarios que promedia.</w:t>
      </w:r>
    </w:p>
    <w:p>
      <w:pPr>
        <w:spacing w:after="140" w:line="276"/>
      </w:pPr>
      <w:r>
        <w:rPr>
          <w:sz w:val="21"/>
          <w:szCs w:val="21"/>
        </w:rPr>
        <w:t xml:space="preserve">Hay una segunda incompatibilidad. El trabajo declara que el promedio bajo carga es idéntico al promedio global, 1,79 y 7,69 segundos. Si el global incluye además las doce órdenes de precarga, cuyos días registran valores de once segundos o más, entonces el promedio de las veinte órdenes de carga tendría que ser sensiblemente menor que el global, nunca igual. Conviene además notar que un día con detección y resolución sumando alrededor de treinta y cinco segundos superaría el umbral de treinta segundos de la primera hipótesis, hecho que el trabajo no menciona.</w:t>
      </w:r>
    </w:p>
    <w:p>
      <w:pPr>
        <w:pStyle w:val="Heading2"/>
        <w:spacing w:after="120" w:before="250"/>
      </w:pPr>
      <w:r>
        <w:rPr>
          <w:b/>
          <w:bCs/>
          <w:color w:val="2E5496"/>
          <w:sz w:val="23"/>
          <w:szCs w:val="23"/>
        </w:rPr>
        <w:t xml:space="preserve">C-06 — Una referencia con autoría que no corresponde a ninguna publicación real</w:t>
      </w:r>
    </w:p>
    <w:p>
      <w:pPr>
        <w:spacing w:after="140" w:line="276"/>
      </w:pPr>
      <w:r>
        <w:rPr>
          <w:sz w:val="21"/>
          <w:szCs w:val="21"/>
        </w:rPr>
        <w:t xml:space="preserve">La entrada atribuida a «Ram, P., &amp; Yih, W.-T. (2021)» remite al artículo «Few-Shot Intent Detection via Contrastive Pre-Training and Fine-Tuning», presentado en EMNLP 2021. Ese trabajo es de Zhang, Bui, Yoon, Chen, Liu, Xia, Tran, Chang y Yu. Ninguno de los dos apellidos consignados figura entre sus autores, de modo que la referencia tal como está escrita no corresponde a ninguna publicación existente.</w:t>
      </w:r>
    </w:p>
    <w:p>
      <w:pPr>
        <w:spacing w:after="140" w:line="276"/>
      </w:pPr>
      <w:r>
        <w:rPr>
          <w:sz w:val="21"/>
          <w:szCs w:val="21"/>
        </w:rPr>
        <w:t xml:space="preserve">El peso del hallazgo no está en el error de autoría sino en su función. Esa referencia se cita dos veces y es la única que sostiene el umbral del 85 % de precisión, que es el criterio de aceptación de la hipótesis H2b. El trabajo afirma que ese umbral «es consistente con los estándares reportados en sistemas de soporte al cliente de nivel prototipo» según esa fuente. El artículo real es un estudio de preentrenamiento contrastivo sobre bancos de prueba académicos en régimen de pocos ejemplos: no enuncia ningún estándar del 85 % ni menciona sistemas de soporte al cliente. El criterio de aceptación de una de las tres hipótesis del trabajo carece de fundamento en la fuente que lo funda.</w:t>
      </w:r>
    </w:p>
    <w:p>
      <w:pPr>
        <w:pStyle w:val="Heading2"/>
        <w:spacing w:after="120" w:before="250"/>
      </w:pPr>
      <w:r>
        <w:rPr>
          <w:b/>
          <w:bCs/>
          <w:color w:val="2E5496"/>
          <w:sz w:val="23"/>
          <w:szCs w:val="23"/>
        </w:rPr>
        <w:t xml:space="preserve">C-07 — Cuatro afirmaciones más atribuidas a fuentes que no las contienen</w:t>
      </w:r>
    </w:p>
    <w:p>
      <w:pPr>
        <w:spacing w:after="140" w:line="276"/>
      </w:pPr>
      <w:r>
        <w:rPr>
          <w:sz w:val="21"/>
          <w:szCs w:val="21"/>
        </w:rPr>
        <w:t xml:space="preserve">Todas fueron verificadas contra la fuente y todas sostienen puntos estructurales del trabajo.</w:t>
      </w:r>
    </w:p>
    <w:p>
      <w:pPr>
        <w:spacing w:after="140" w:line="276"/>
      </w:pPr>
      <w:r>
        <w:rPr>
          <w:sz w:val="21"/>
          <w:szCs w:val="21"/>
        </w:rPr>
        <w:t xml:space="preserve">Se atribuye al informe anual de la cámara sectorial que el 68 % de los consumidores argentinos espera poder contactar al vendedor por al menos dos canales. Ese informe publica facturación, número de órdenes, ticket promedio, unidades vendidas, medios de pago y cantidad de compradores; no publica ninguna cifra sobre expectativas multicanal. Es el dato que justifica todo el enfoque omnicanal del trabajo. Al mismo informe se le atribuye un volumen inferior a doscientas órdenes diarias por PyME, que tampoco publica, y que es el dato con el que se justifica el tamaño de la prueba de carga.</w:t>
      </w:r>
    </w:p>
    <w:p>
      <w:pPr>
        <w:spacing w:after="140" w:line="276"/>
      </w:pPr>
      <w:r>
        <w:rPr>
          <w:sz w:val="21"/>
          <w:szCs w:val="21"/>
        </w:rPr>
        <w:t xml:space="preserve">Se afirma que PostgreSQL es el gestor de base de datos de código abierto más utilizado en proyectos de automatización empresarial según un ranking. Ese ranking coloca a MySQL, que también es de código abierto, por encima de PostgreSQL, y además mide popularidad general sin segmentar por tipo de proyecto. La afirmación no puede derivarse de la fuente.</w:t>
      </w:r>
    </w:p>
    <w:p>
      <w:pPr>
        <w:spacing w:after="140" w:line="276"/>
      </w:pPr>
      <w:r>
        <w:rPr>
          <w:sz w:val="21"/>
          <w:szCs w:val="21"/>
        </w:rPr>
        <w:t xml:space="preserve">Se compara el 90,7 % de precisión propio con «los resultados reportados» por un trabajo que es explícitamente un artículo de revisión y que no reporta resultados experimentales propios de clasificación en dominios especializados. Y el informe de benchmarking de tiempos de respuesta que sostiene la comparación de doce a veinticuatro horas del correo manual no es localizable con el título citado en la dirección indicada.</w:t>
      </w:r>
    </w:p>
    <w:p>
      <w:pPr>
        <w:pStyle w:val="Heading2"/>
        <w:spacing w:after="120" w:before="250"/>
      </w:pPr>
      <w:r>
        <w:rPr>
          <w:b/>
          <w:bCs/>
          <w:color w:val="2E5496"/>
          <w:sz w:val="23"/>
          <w:szCs w:val="23"/>
        </w:rPr>
        <w:t xml:space="preserve">C-08 — Errores de magnitud en el resultado principal</w:t>
      </w:r>
    </w:p>
    <w:p>
      <w:pPr>
        <w:spacing w:after="140" w:line="276"/>
      </w:pPr>
      <w:r>
        <w:rPr>
          <w:sz w:val="21"/>
          <w:szCs w:val="21"/>
        </w:rPr>
        <w:t xml:space="preserve">El titular cuantitativo del capítulo de resultados dice que la reducción del tiempo de procesamiento es de aproximadamente 190 veces respecto del límite inferior del proceso manual y de aproximadamente 1.900 veces respecto del superior. Los valores correctos son 31,6 y 189,9 veces. El primero está inflado en un factor de seis; el segundo, en un factor de diez. Se advierte además el mecanismo del error: el valor que se atribuye al límite inferior es en realidad el correcto para el superior, y ambos fueron multiplicados por diez.</w:t>
      </w:r>
    </w:p>
    <w:p>
      <w:pPr>
        <w:spacing w:after="140" w:line="276"/>
      </w:pPr>
      <w:r>
        <w:rPr>
          <w:sz w:val="21"/>
          <w:szCs w:val="21"/>
        </w:rPr>
        <w:t xml:space="preserve">En la misma línea, la sección 5.3 afirma que el tiempo end-to-end representa menos del 1 % del tiempo mínimo de procesamiento manual, cuando representa el 3,16 %, y la sección 6.1 lo corrige a «menos del 3 %», que sigue siendo incorrecto por poco. En cambio, los márgenes sobre umbrales sí están bien calculados: el 32 % del umbral de treinta segundos, el 24 % del umbral de diez segundos y las más de dieciocho mil veces de reducción del tiempo de respuesta verifican correctamente.</w:t>
      </w:r>
    </w:p>
    <w:p>
      <w:pPr>
        <w:pStyle w:val="Heading2"/>
        <w:spacing w:after="120" w:before="250"/>
      </w:pPr>
      <w:r>
        <w:rPr>
          <w:b/>
          <w:bCs/>
          <w:color w:val="2E5496"/>
          <w:sz w:val="23"/>
          <w:szCs w:val="23"/>
        </w:rPr>
        <w:t xml:space="preserve">C-09 — El baseline de comparación no está medido ni citado</w:t>
      </w:r>
    </w:p>
    <w:p>
      <w:pPr>
        <w:spacing w:after="140" w:line="276"/>
      </w:pPr>
      <w:r>
        <w:rPr>
          <w:sz w:val="21"/>
          <w:szCs w:val="21"/>
        </w:rPr>
        <w:t xml:space="preserve">La primera hipótesis se formula «frente al rango de 5 a 30 minutos que caracteriza al procesamiento manual en PyMEs de e-commerce de escala similar». Ese rango no tiene cita, no aparece en el marco teórico y no corresponde a ninguna medición realizada en este estudio. Sin embargo es el denominador de todas las afirmaciones de impacto del trabajo: de los factores de mejora de la sección 5.4, del porcentaje de la sección 6.1 y de la comparación del resumen.</w:t>
      </w:r>
    </w:p>
    <w:p>
      <w:pPr>
        <w:spacing w:after="140" w:line="276"/>
      </w:pPr>
      <w:r>
        <w:rPr>
          <w:sz w:val="21"/>
          <w:szCs w:val="21"/>
        </w:rPr>
        <w:t xml:space="preserve">Conviene señalar el dato de contexto: el Capítulo 1 completo no contiene una sola cita. La primera del trabajo aparece ya dentro del marco teórico. Un capítulo introductorio que plantea el problema, lo justifica y fija la línea de base de la comparación sin ninguna referencia es una carencia que el tribunal notará antes que cualquier otra cosa.</w:t>
      </w:r>
    </w:p>
    <w:p>
      <w:pPr>
        <w:pStyle w:val="Heading1"/>
        <w:spacing w:after="160" w:before="340"/>
      </w:pPr>
      <w:r>
        <w:rPr>
          <w:b/>
          <w:bCs/>
          <w:color w:val="1F3864"/>
          <w:sz w:val="28"/>
          <w:szCs w:val="28"/>
        </w:rPr>
        <w:t xml:space="preserve">4. Hallazgos de severidad alta</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760"/>
        <w:gridCol w:w="2200"/>
        <w:gridCol w:w="6066"/>
      </w:tblGrid>
      <w:tr>
        <w:trPr>
          <w:tblHeader/>
        </w:trPr>
        <w:tc>
          <w:tcPr>
            <w:tcW w:type="dxa" w:w="760"/>
            <w:shd w:fill="DCE6F1" w:color="auto" w:val="clear"/>
            <w:tcMar>
              <w:top w:type="dxa" w:w="50"/>
              <w:left w:type="dxa" w:w="80"/>
              <w:bottom w:type="dxa" w:w="50"/>
              <w:right w:type="dxa" w:w="80"/>
            </w:tcMar>
            <w:vAlign w:val="top"/>
          </w:tcPr>
          <w:p>
            <w:pPr>
              <w:spacing w:after="40" w:before="40" w:line="252"/>
            </w:pPr>
            <w:r>
              <w:rPr>
                <w:b/>
                <w:bCs/>
                <w:sz w:val="18"/>
                <w:szCs w:val="18"/>
              </w:rPr>
              <w:t xml:space="preserve">ID</w:t>
            </w:r>
          </w:p>
        </w:tc>
        <w:tc>
          <w:tcPr>
            <w:tcW w:type="dxa" w:w="2200"/>
            <w:shd w:fill="DCE6F1" w:color="auto" w:val="clear"/>
            <w:tcMar>
              <w:top w:type="dxa" w:w="50"/>
              <w:left w:type="dxa" w:w="80"/>
              <w:bottom w:type="dxa" w:w="50"/>
              <w:right w:type="dxa" w:w="80"/>
            </w:tcMar>
            <w:vAlign w:val="top"/>
          </w:tcPr>
          <w:p>
            <w:pPr>
              <w:spacing w:after="40" w:before="40" w:line="252"/>
            </w:pPr>
            <w:r>
              <w:rPr>
                <w:b/>
                <w:bCs/>
                <w:sz w:val="18"/>
                <w:szCs w:val="18"/>
              </w:rPr>
              <w:t xml:space="preserve">Ubicación</w:t>
            </w:r>
          </w:p>
        </w:tc>
        <w:tc>
          <w:tcPr>
            <w:tcW w:type="dxa" w:w="6066"/>
            <w:shd w:fill="DCE6F1" w:color="auto" w:val="clear"/>
            <w:tcMar>
              <w:top w:type="dxa" w:w="50"/>
              <w:left w:type="dxa" w:w="80"/>
              <w:bottom w:type="dxa" w:w="50"/>
              <w:right w:type="dxa" w:w="80"/>
            </w:tcMar>
            <w:vAlign w:val="top"/>
          </w:tcPr>
          <w:p>
            <w:pPr>
              <w:spacing w:after="40" w:before="40" w:line="252"/>
            </w:pPr>
            <w:r>
              <w:rPr>
                <w:b/>
                <w:bCs/>
                <w:sz w:val="18"/>
                <w:szCs w:val="18"/>
              </w:rPr>
              <w:t xml:space="preserve">Hallazgo</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A-01</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§5.3, tabla de hipótesis</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H2b se declara CONFIRMADA sin sustento estadístico. Recalculado sobre 97 aciertos en 107 casos: el intervalo de confianza del 95 % por el método de Wilson es [83,65 % ; 94,84 %], es decir que incluye valores por debajo del umbral de 85 %. La prueba binomial exacta unilateral contra esa hipótesis nula da un valor-p de 0,060, que no alcanza el nivel convencional. No se puede rechazar que la precisión verdadera sea 85 % o menos. El «margen de 5,7 puntos porcentuales» que declara el texto no es sostenible. Es llamativo porque la sección 5.4.1 reconoce que no se calcularon intervalos, pero esa reserva no se traslada al veredicto.</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A-02</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§3.5.2</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La justificación del tamaño de muestra es incorrecta y se refuta a sí misma. Se afirma que 107 supera el mínimo de 80 observaciones que recomendaría Cochran para un margen de ±10 % al 95 % de confianza. Aplicando la fórmula, el mínimo para esos parámetros es 96, no 80. Y más importante: un margen declarado de ±10 puntos porcentuales no permite discriminar un 90,7 % observado de un 85 % de umbral, porque la diferencia es de 5,7 puntos. El propio diseño muestral, según su propia justificación, no tiene resolución para contrastar la hipótesis que pretende contrastar.</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A-03</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§3.5.3</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Ground truth circular y sin medida de acuerdo. Los mismos tres autores escribieron el prompt con los ejemplos que definen operacionalmente cada intención, redactaron los 107 mensajes de prueba y fijaron cuál era la etiqueta correcta. No hay separación entre quien define la clase, quien genera el dato y quien juzga el acierto. Además el texto dice que la determinación fue «independiente y consensuada», que son procedimientos mutuamente excluyentes, y no reporta ningún estadístico de acuerdo entre evaluadores ni tasa de desacuerdo inicial. Consensuar no elimina la variabilidad: la oculta, y precisamente en los casos frontera donde se concentran los seis errores.</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A-04</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Figura 4, p. 34</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Exposición de datos personales de terceros. La captura publica en alta resolución diez direcciones de correo en dominios públicos reales y un nombre personal en el cuerpo del mensaje. La sección 1.6.2 declara que las pruebas usan datos ficticios, pero se emplearon dominios reales en lugar de los dominios reservados para documentación. Si alguna de esas casillas existe, hay tratamiento de datos de terceros sin consentimiento. Debe regenerarse la captura o pixelarse.</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A-05</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§5.2.1, tabla de TMR</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El tiempo medio de respuesta es exactamente idéntico —2,38 segundos— en los cuatro grupos de intención, que tienen tamaños distintos (27, 32, 12 y 36), desvíos distintos y valores mínimos y máximos distintos. Bajo el supuesto más favorable de que la media poblacional fuera idéntica en las cuatro clases, la probabilidad de que las cuatro medias muestrales redondeen al mismo centésimo es del orden de una en un millón. Corresponde exhibir la consulta de agrupación por intención con su salida: un desglose real produciría medias distintas, porque las respuestas de reclamo y generales son más largas y consumen más tokens.</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A-06</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Global</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Ninguna figura ni tabla está referenciada desde el texto. Búsqueda exhaustiva de las formas «ver Figura», «la Figura» y «(Figura N)»: cero coincidencias en el cuerpo. Las nueve figuras aparecen intercaladas sin que ningún párrafo las invoque. Además todas llevan el rótulo duplicado, con una línea de título sobre la imagen y un epígrafe debajo, ambos comenzando igual. Y las catorce tablas no están numeradas ni rotuladas en el cuerpo: sus números solo existen en el listado inicial.</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A-07</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§4.3 y §5.1</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El canvas del Flujo 1 tiene doce nodos, no los once que declaran el resumen, el objetivo 1, la tabla de nodos y el propio epígrafe. Más grave: no existe el nodo de verificación de stock bajo ni ninguna rama de alerta, pese a que la prueba funcional F3 y su resultado PF-03 declaran aprobada la generación de esa alerta. Se reporta como aprobada una funcionalidad que no aparece en el flujo ejecutado. Las dos imágenes rotuladas ambas como Figura 1 son además mutuamente inconsistentes: el diagrama de elaboración propia sí dibuja la rama de stock bajo, el canvas real no.</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A-08</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§5.1</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La prueba de carga no puede sostener la conclusión que se extrae de ella. El texto afirma que el resultado «confirma que las transacciones SQL del pipeline son atómicas y no producen condiciones de carrera». El pipeline consulta el stock, evalúa la condición y actualiza en tres nodos separados, sin transacción envolvente ni bloqueo de fila: es un patrón de comprobar y actuar clásico. Y el script publicado envía veinte pedidos de una unidad de un producto con stock cincuenta, de modo que la contención en el borde del stock es inobservable por construcción. Para probar atomicidad habría que enviar más pedidos concurrentes que unidades disponibles y verificar que el stock nunca queda negativo.</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A-09</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§3.5.4 vs §3.6.4</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Contradicción entre estadísticos: una sección declara que se calcularon promedios aritméticos simples y la otra que los tiempos reportados corresponden a la mediana de múltiples ejecuciones. Las tablas dicen «promedio». En distribuciones de latencia asimétricas son valores muy distintos. Además se afirma que la distribución tiende a ser aproximadamente normal, sin ninguna prueba, cuando los propios datos lo desmienten: con media 2,38 y desvío 0,72, el máximo de 5,14 está a casi cuatro desvíos de la media y el mínimo a menos de dos. Es el patrón asimétrico típico de latencias de red.</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A-10</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§5.2.2</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Lo que la tabla llama «precisión» por clase es en realidad exhaustividad: se calcula sobre los mensajes de esa clase, no sobre las predicciones de esa clase. La sección 2.2.3 distingue correctamente ambas métricas y el capítulo de resultados las confunde. La diferencia importa: si seis mensajes generales fueron clasificados como pregunta frecuente, la precisión real de esa clase no supera el 81 %, y sin embargo se la anuncia como la categoría de mayor precisión con 96,3 %. Falta la matriz de confusión, sin la cual esto no es auditable.</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A-11</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§5.2.1</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Las tasas de resolución y el conteo de tickets presuponen clasificación perfecta. Se asigna 100 % de resolución autónoma a tres clases y 0 % a reclamos, y se afirma que los 32 tickets provienen de los 32 mensajes de reclamo. Pero el enrutamiento lo decide el conmutador sobre la intención predicha, no sobre la real: con diez mensajes mal clasificados, diez fueron necesariamente mal ruteados, y los dos reclamos mal clasificados no generaron ticket. Estas cifras son incompatibles con un accuracy del 90,7 %. La conclusión de que «si se excluyen los reclamos la tasa sube al 100 %, lo que confirma que el chatbot resuelve todas las consultas que no requieren intervención humana» es además tautológica: excluye por definición la única clase que no resuelve.</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A-12</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§4.2 y Anexo A</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Defectos de modelado. La tabla de órdenes tiene un único identificador de producto y una cantidad, de modo que una orden no puede contener más de un producto: es un defecto fundamental para un comercio electrónico e invalida la semántica del importe total. No hay ningún índice, pese a que el objetivo 3 promete explícitamente índices para rendimiento y la sección 6.2 lo marca cumplido. El campo de estado es texto libre sin restricción de valores. No hay restricciones de integridad de negocio que impidan stock negativo, que es justamente lo que la prueba de carga pretende descartar. Las marcas temporales no llevan zona horaria, en un sistema cuya métrica principal es una diferencia de tiempos. Y el campo de carga útil sin procesar, con el que se justifica la elección de PostgreSQL por su soporte de JSON, no existe en el esquema.</w:t>
            </w:r>
          </w:p>
        </w:tc>
      </w:tr>
    </w:tbl>
    <w:p>
      <w:pPr>
        <w:spacing w:after="140"/>
      </w:pPr>
    </w:p>
    <w:p>
      <w:pPr>
        <w:pStyle w:val="Heading1"/>
        <w:spacing w:after="160" w:before="340"/>
      </w:pPr>
      <w:r>
        <w:rPr>
          <w:b/>
          <w:bCs/>
          <w:color w:val="1F3864"/>
          <w:sz w:val="28"/>
          <w:szCs w:val="28"/>
        </w:rPr>
        <w:t xml:space="preserve">5. Hallazgos de severidad media</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760"/>
        <w:gridCol w:w="2200"/>
        <w:gridCol w:w="6066"/>
      </w:tblGrid>
      <w:tr>
        <w:trPr>
          <w:tblHeader/>
        </w:trPr>
        <w:tc>
          <w:tcPr>
            <w:tcW w:type="dxa" w:w="760"/>
            <w:shd w:fill="DCE6F1" w:color="auto" w:val="clear"/>
            <w:tcMar>
              <w:top w:type="dxa" w:w="50"/>
              <w:left w:type="dxa" w:w="80"/>
              <w:bottom w:type="dxa" w:w="50"/>
              <w:right w:type="dxa" w:w="80"/>
            </w:tcMar>
            <w:vAlign w:val="top"/>
          </w:tcPr>
          <w:p>
            <w:pPr>
              <w:spacing w:after="40" w:before="40" w:line="252"/>
            </w:pPr>
            <w:r>
              <w:rPr>
                <w:b/>
                <w:bCs/>
                <w:sz w:val="18"/>
                <w:szCs w:val="18"/>
              </w:rPr>
              <w:t xml:space="preserve">ID</w:t>
            </w:r>
          </w:p>
        </w:tc>
        <w:tc>
          <w:tcPr>
            <w:tcW w:type="dxa" w:w="2200"/>
            <w:shd w:fill="DCE6F1" w:color="auto" w:val="clear"/>
            <w:tcMar>
              <w:top w:type="dxa" w:w="50"/>
              <w:left w:type="dxa" w:w="80"/>
              <w:bottom w:type="dxa" w:w="50"/>
              <w:right w:type="dxa" w:w="80"/>
            </w:tcMar>
            <w:vAlign w:val="top"/>
          </w:tcPr>
          <w:p>
            <w:pPr>
              <w:spacing w:after="40" w:before="40" w:line="252"/>
            </w:pPr>
            <w:r>
              <w:rPr>
                <w:b/>
                <w:bCs/>
                <w:sz w:val="18"/>
                <w:szCs w:val="18"/>
              </w:rPr>
              <w:t xml:space="preserve">Ubicación</w:t>
            </w:r>
          </w:p>
        </w:tc>
        <w:tc>
          <w:tcPr>
            <w:tcW w:type="dxa" w:w="6066"/>
            <w:shd w:fill="DCE6F1" w:color="auto" w:val="clear"/>
            <w:tcMar>
              <w:top w:type="dxa" w:w="50"/>
              <w:left w:type="dxa" w:w="80"/>
              <w:bottom w:type="dxa" w:w="50"/>
              <w:right w:type="dxa" w:w="80"/>
            </w:tcMar>
            <w:vAlign w:val="top"/>
          </w:tcPr>
          <w:p>
            <w:pPr>
              <w:spacing w:after="40" w:before="40" w:line="252"/>
            </w:pPr>
            <w:r>
              <w:rPr>
                <w:b/>
                <w:bCs/>
                <w:sz w:val="18"/>
                <w:szCs w:val="18"/>
              </w:rPr>
              <w:t xml:space="preserve">Hallazgo</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M-01</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§3.5.2 vs §5.2.2</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El criterio de distribución declarado dice mayor volumen de preguntas frecuentes y reclamos, y menor de estado de pedido y generales. La distribución ejecutada tiene a las consultas generales como la clase más numerosa, exactamente al revés. Importa porque esa clase es además la peor clasificada.</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M-02</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§2.2.3</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Se justifica el uso de accuracy como métrica porque las clases tendrían distribución relativamente balanceada. La razón real entre la clase menor y la mayor es de uno a tres, y la clase mayoritaria es la de peor desempeño. La premisa que justifica la elección de la métrica es falsa.</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M-03</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Anexo B</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Tres de las cuatro imágenes de contenedor usan la etiqueta móvil de última versión. Esto contradice directamente la afirmación de la sección 6.3 de que la infraestructura demostró ser completamente reproducible, y la justificación del marco teórico sobre reproducibilidad con contenedores. Un despliegue dentro de seis meses levanta un sistema distinto.</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M-04</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Anexo B y Anexo E</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Credenciales por defecto y superficie expuesta: el anexo de comandos publica el acceso a Grafana con usuario y contraseña de administrador por defecto, contradiciendo la variable de contraseña declarada en el anexo de configuración; el puerto de PostgreSQL se publica al anfitrión sin necesidad, ya que los servicios lo alcanzan por la red interna; y no consta autenticación ni clave de cifrado para el panel de orquestación, desde el cual pueden leerse las credenciales almacenadas.</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M-05</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§4.5 vs Figuras 3/5 y 6</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Se declara un dashboard único de siete paneles consumiendo cinco vistas. La evidencia muestra dos dashboards distintos de diez paneles cada uno, con nombres que en su mayoría no figuran en la tabla, y faltando de las figuras dos paneles que la tabla sí declara. Que falte precisamente el panel de interacciones por canal es coherente con que solo se implementó un canal. Además la tabla declara las unidades en milisegundos y los paneles muestran segundos.</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M-06</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Figuras 3/5 y 6</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Tres paneles de tipo torta se renderizan como un círculo macizo de un solo color con la leyenda literal «value»: el síntoma clásico de una consulta que devuelve una columna numérica sin campo de agrupación. No muestran ninguna distribución. Sin embargo los epígrafes los describen como gráfico de torta de distribución de estados y gráfico de anillo de distribución por intención. Son paneles defectuosos presentados como resultado.</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M-07</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§3.6.4 vs figuras</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La confiabilidad se mitiga declarando que todas las pruebas se hicieron en una ventana temporal acotada para minimizar la variabilidad del servicio externo. Los ejes de los dashboards muestran actividad distribuida a lo largo de al menos nueve días. La mitigación declarada no se aplicó.</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M-08</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§4.3.3, §4.3.4 y Tabla 4.4</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Tres definiciones incompatibles de dónde empieza y termina cada métrica. Según la tabla de nodos, la marca de notificación se escribe en el nodo de confirmación, es decir antes del nodo que envía el correo: bajo esa lectura la métrica de resolución no mide el tiempo hasta notificar al cliente sino hasta ejecutar una actualización, lo que invalida la operacionalización de la primera hipótesis. El canvas real sí tiene un nodo de registro posterior al envío, pero ese nodo no está documentado en ninguna tabla. El trabajo no permite saber cuál de las dos semánticas produjo los valores reportados. A esto se suma que el destinatario es un capturador local que no entrega correo, de modo que la latencia real hasta el cliente es estructuralmente inobservable.</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M-09</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Varias</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Discrepancias de conteo entre secciones: ocho categorías de catálogo declaradas frente a once reales en el anexo; veintitrés entradas de preguntas frecuentes declaradas frente a diez publicadas; ocho estados de orden en una tabla y seis en la nota y en el diagrama; veintiún nodos declarados frente a trece en el canvas. Y uno de los veinte productos «electrónicos» es una silla.</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M-10</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Cap. 2 y Cap. 8</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Tres citas del cuerpo carecen de entrada en la lista de referencias. Una de ellas es anacrónica: se cita una plataforma con un nombre que dejó de usarse en 2022, en el mismo párrafo en el que se la menciona por su nombre actual. Hay además una entrada huérfana, nunca citada pese a que el producto se menciona veinticinco veces en el cuerpo.</w:t>
            </w:r>
          </w:p>
        </w:tc>
      </w:tr>
    </w:tbl>
    <w:p>
      <w:pPr>
        <w:spacing w:after="140"/>
      </w:pPr>
    </w:p>
    <w:p>
      <w:pPr>
        <w:pStyle w:val="Heading1"/>
        <w:spacing w:after="160" w:before="340"/>
      </w:pPr>
      <w:r>
        <w:rPr>
          <w:b/>
          <w:bCs/>
          <w:color w:val="1F3864"/>
          <w:sz w:val="28"/>
          <w:szCs w:val="28"/>
        </w:rPr>
        <w:t xml:space="preserve">6. Hallazgos de severidad baja</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760"/>
        <w:gridCol w:w="2200"/>
        <w:gridCol w:w="6066"/>
      </w:tblGrid>
      <w:tr>
        <w:trPr>
          <w:tblHeader/>
        </w:trPr>
        <w:tc>
          <w:tcPr>
            <w:tcW w:type="dxa" w:w="760"/>
            <w:shd w:fill="DCE6F1" w:color="auto" w:val="clear"/>
            <w:tcMar>
              <w:top w:type="dxa" w:w="50"/>
              <w:left w:type="dxa" w:w="80"/>
              <w:bottom w:type="dxa" w:w="50"/>
              <w:right w:type="dxa" w:w="80"/>
            </w:tcMar>
            <w:vAlign w:val="top"/>
          </w:tcPr>
          <w:p>
            <w:pPr>
              <w:spacing w:after="40" w:before="40" w:line="252"/>
            </w:pPr>
            <w:r>
              <w:rPr>
                <w:b/>
                <w:bCs/>
                <w:sz w:val="18"/>
                <w:szCs w:val="18"/>
              </w:rPr>
              <w:t xml:space="preserve">ID</w:t>
            </w:r>
          </w:p>
        </w:tc>
        <w:tc>
          <w:tcPr>
            <w:tcW w:type="dxa" w:w="2200"/>
            <w:shd w:fill="DCE6F1" w:color="auto" w:val="clear"/>
            <w:tcMar>
              <w:top w:type="dxa" w:w="50"/>
              <w:left w:type="dxa" w:w="80"/>
              <w:bottom w:type="dxa" w:w="50"/>
              <w:right w:type="dxa" w:w="80"/>
            </w:tcMar>
            <w:vAlign w:val="top"/>
          </w:tcPr>
          <w:p>
            <w:pPr>
              <w:spacing w:after="40" w:before="40" w:line="252"/>
            </w:pPr>
            <w:r>
              <w:rPr>
                <w:b/>
                <w:bCs/>
                <w:sz w:val="18"/>
                <w:szCs w:val="18"/>
              </w:rPr>
              <w:t xml:space="preserve">Ubicación</w:t>
            </w:r>
          </w:p>
        </w:tc>
        <w:tc>
          <w:tcPr>
            <w:tcW w:type="dxa" w:w="6066"/>
            <w:shd w:fill="DCE6F1" w:color="auto" w:val="clear"/>
            <w:tcMar>
              <w:top w:type="dxa" w:w="50"/>
              <w:left w:type="dxa" w:w="80"/>
              <w:bottom w:type="dxa" w:w="50"/>
              <w:right w:type="dxa" w:w="80"/>
            </w:tcMar>
            <w:vAlign w:val="top"/>
          </w:tcPr>
          <w:p>
            <w:pPr>
              <w:spacing w:after="40" w:before="40" w:line="252"/>
            </w:pPr>
            <w:r>
              <w:rPr>
                <w:b/>
                <w:bCs/>
                <w:sz w:val="18"/>
                <w:szCs w:val="18"/>
              </w:rPr>
              <w:t xml:space="preserve">Hallazgo</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B-01</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pp. 20 y 34</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Artefactos de conversión sin procesar incrustados en el cuerpo: dos títulos de capítulo aparecen precedidos por el signo de numeral propio de la sintaxis de marcado y pegados al final del párrafo anterior. Hay además listas aplanadas dentro de párrafos, con los guiones de viñeta convertidos en texto corrido.</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B-02</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Índice</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El encabezado del índice está en inglés. La entrada del Capítulo 3 carece de tilde, usa puntos suspensivos en lugar de línea de puntos y remite a una página anterior a donde el capítulo empieza. Falta por completo la entrada de nivel capítulo del Capítulo 5: el índice salta de la sección 4.6 a la 5.1.</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B-03</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Cap. 8</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La lista de referencias está partida en dos secciones temáticas, contra la norma que exige una sola lista alfabética continua. La consecuencia concreta es una ruptura alfabética global entre el final de la primera sección y el comienzo de la segunda. La clasificación es además discutible: un preprint académico quedó en la sección de documentación técnica, junto a un ranking web comercial y a un blog corporativo presentados como fuentes institucionales.</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B-04</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Cap. 8</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No hay sangría francesa: la lista está construida como viñetas de procesador de texto, con el marcador tipográfico correspondiente y un desplazamiento de la mitad del que corresponde. Varias entradas quedan además con la viñeta huérfana en línea propia.</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B-05</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Cap. 8</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Cursivas mal aplicadas de forma sistemática: el número de volumen nunca va en cursiva en las cinco entradas de revista, cuando la norma lo exige junto al nombre de la publicación. Y en tres entradas la cursiva está invertida: se aplica al título del trabajo y no al de las actas, o se aplica al identificador del repositorio de preprints en lugar de al título.</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B-06</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Cap. 8</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Estilo de mayúsculas en título donde corresponde mayúscula inicial en unas quince entradas, conviviendo con nueve entradas que sí lo aplican bien: el problema es la mezcla dentro de la misma lista. La elipsis de autores sigue la regla de la norma anterior en dos entradas, una de las cuales tiene once autores y debería listarlos a todos. Y no hay fecha de recuperación en ninguna fuente en línea, incluidas dos que se recalculan periódicamente y se usan como evidencia puntual.</w:t>
            </w:r>
          </w:p>
        </w:tc>
      </w:tr>
      <w:tr>
        <w:tc>
          <w:tcPr>
            <w:tcW w:type="dxa" w:w="760"/>
            <w:tcMar>
              <w:top w:type="dxa" w:w="50"/>
              <w:left w:type="dxa" w:w="80"/>
              <w:bottom w:type="dxa" w:w="50"/>
              <w:right w:type="dxa" w:w="80"/>
            </w:tcMar>
            <w:vAlign w:val="top"/>
          </w:tcPr>
          <w:p>
            <w:pPr>
              <w:spacing w:after="40" w:before="40" w:line="252"/>
            </w:pPr>
            <w:r>
              <w:rPr>
                <w:b/>
                <w:bCs/>
                <w:sz w:val="18"/>
                <w:szCs w:val="18"/>
              </w:rPr>
              <w:t xml:space="preserve">B-07</w:t>
            </w:r>
          </w:p>
        </w:tc>
        <w:tc>
          <w:tcPr>
            <w:tcW w:type="dxa" w:w="2200"/>
            <w:tcMar>
              <w:top w:type="dxa" w:w="50"/>
              <w:left w:type="dxa" w:w="80"/>
              <w:bottom w:type="dxa" w:w="50"/>
              <w:right w:type="dxa" w:w="80"/>
            </w:tcMar>
            <w:vAlign w:val="top"/>
          </w:tcPr>
          <w:p>
            <w:pPr>
              <w:spacing w:after="40" w:before="40" w:line="252"/>
            </w:pPr>
            <w:r>
              <w:rPr>
                <w:b w:val="false"/>
                <w:bCs w:val="false"/>
                <w:sz w:val="18"/>
                <w:szCs w:val="18"/>
              </w:rPr>
              <w:t xml:space="preserve">Cap. 8</w:t>
            </w:r>
          </w:p>
        </w:tc>
        <w:tc>
          <w:tcPr>
            <w:tcW w:type="dxa" w:w="6066"/>
            <w:tcMar>
              <w:top w:type="dxa" w:w="50"/>
              <w:left w:type="dxa" w:w="80"/>
              <w:bottom w:type="dxa" w:w="50"/>
              <w:right w:type="dxa" w:w="80"/>
            </w:tcMar>
            <w:vAlign w:val="top"/>
          </w:tcPr>
          <w:p>
            <w:pPr>
              <w:spacing w:after="40" w:before="40" w:line="252"/>
            </w:pPr>
            <w:r>
              <w:rPr>
                <w:b w:val="false"/>
                <w:bCs w:val="false"/>
                <w:sz w:val="18"/>
                <w:szCs w:val="18"/>
              </w:rPr>
              <w:t xml:space="preserve">Dos entradas con datos editoriales que no corresponden a una publicación real: una combina el año de una editorial con el nombre de otra, y otra fecha en 2013 un libro cuya edición original es de 1990. Esta última tiene además una atribución anacrónica: se le adjudica una afirmación sobre determinantes de la satisfacción en canales digitales, cuando el modelo que propone es de calidad de servicio y es anterior a la existencia de esos canales.</w:t>
            </w:r>
          </w:p>
        </w:tc>
      </w:tr>
      <w:tr>
        <w:tc>
          <w:tcPr>
            <w:tcW w:type="dxa" w:w="760"/>
            <w:shd w:fill="F4F7FB" w:color="auto" w:val="clear"/>
            <w:tcMar>
              <w:top w:type="dxa" w:w="50"/>
              <w:left w:type="dxa" w:w="80"/>
              <w:bottom w:type="dxa" w:w="50"/>
              <w:right w:type="dxa" w:w="80"/>
            </w:tcMar>
            <w:vAlign w:val="top"/>
          </w:tcPr>
          <w:p>
            <w:pPr>
              <w:spacing w:after="40" w:before="40" w:line="252"/>
            </w:pPr>
            <w:r>
              <w:rPr>
                <w:b/>
                <w:bCs/>
                <w:sz w:val="18"/>
                <w:szCs w:val="18"/>
              </w:rPr>
              <w:t xml:space="preserve">B-08</w:t>
            </w:r>
          </w:p>
        </w:tc>
        <w:tc>
          <w:tcPr>
            <w:tcW w:type="dxa" w:w="2200"/>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Figuras y §3.4</w:t>
            </w:r>
          </w:p>
        </w:tc>
        <w:tc>
          <w:tcPr>
            <w:tcW w:type="dxa" w:w="6066"/>
            <w:shd w:fill="F4F7FB" w:color="auto" w:val="clear"/>
            <w:tcMar>
              <w:top w:type="dxa" w:w="50"/>
              <w:left w:type="dxa" w:w="80"/>
              <w:bottom w:type="dxa" w:w="50"/>
              <w:right w:type="dxa" w:w="80"/>
            </w:tcMar>
            <w:vAlign w:val="top"/>
          </w:tcPr>
          <w:p>
            <w:pPr>
              <w:spacing w:after="40" w:before="40" w:line="252"/>
            </w:pPr>
            <w:r>
              <w:rPr>
                <w:b w:val="false"/>
                <w:bCs w:val="false"/>
                <w:sz w:val="18"/>
                <w:szCs w:val="18"/>
              </w:rPr>
              <w:t xml:space="preserve">Umbrales de color mal configurados en los dashboards: dos métricas de resultado normal se renderizan en rojo, el color de alerta, mientras otras peores aparecen en verde, lo que confunde en una imagen presentada como evidencia. El diagrama de arquitectura no representa la API del modelo de lenguaje, pese a ser la dependencia externa crítica reconocida en las limitaciones. Y la tabla de herramientas consigna como versión del motor de contenedores lo que en realidad es la versión del formato del archivo de composición, atributo hoy obsoleto.</w:t>
            </w:r>
          </w:p>
        </w:tc>
      </w:tr>
    </w:tbl>
    <w:p>
      <w:pPr>
        <w:spacing w:after="140"/>
      </w:pPr>
    </w:p>
    <w:p>
      <w:pPr>
        <w:pStyle w:val="Heading1"/>
        <w:spacing w:after="160" w:before="340"/>
      </w:pPr>
      <w:r>
        <w:rPr>
          <w:b/>
          <w:bCs/>
          <w:color w:val="1F3864"/>
          <w:sz w:val="28"/>
          <w:szCs w:val="28"/>
        </w:rPr>
        <w:t xml:space="preserve">7. Calificación por capítulo</w:t>
      </w:r>
    </w:p>
    <w:p>
      <w:pPr>
        <w:spacing w:after="140" w:line="276"/>
      </w:pPr>
      <w:r>
        <w:rPr>
          <w:sz w:val="21"/>
          <w:szCs w:val="21"/>
        </w:rPr>
        <w:t xml:space="preserve">Rúbrica de seis dimensiones: rigor científico, calidad metodológica, redacción, calidad bibliográfica, cumplimiento APA y coherencia interna.</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620"/>
        <w:gridCol w:w="2400"/>
        <w:gridCol w:w="900"/>
        <w:gridCol w:w="5106"/>
      </w:tblGrid>
      <w:tr>
        <w:trPr>
          <w:tblHeader/>
        </w:trPr>
        <w:tc>
          <w:tcPr>
            <w:tcW w:type="dxa" w:w="620"/>
            <w:shd w:fill="DCE6F1" w:color="auto" w:val="clear"/>
            <w:tcMar>
              <w:top w:type="dxa" w:w="50"/>
              <w:left w:type="dxa" w:w="80"/>
              <w:bottom w:type="dxa" w:w="50"/>
              <w:right w:type="dxa" w:w="80"/>
            </w:tcMar>
            <w:vAlign w:val="top"/>
          </w:tcPr>
          <w:p>
            <w:pPr>
              <w:spacing w:after="40" w:before="40" w:line="252"/>
            </w:pPr>
            <w:r>
              <w:rPr>
                <w:b/>
                <w:bCs/>
                <w:sz w:val="18"/>
                <w:szCs w:val="18"/>
              </w:rPr>
              <w:t xml:space="preserve">N.º</w:t>
            </w:r>
          </w:p>
        </w:tc>
        <w:tc>
          <w:tcPr>
            <w:tcW w:type="dxa" w:w="2400"/>
            <w:shd w:fill="DCE6F1" w:color="auto" w:val="clear"/>
            <w:tcMar>
              <w:top w:type="dxa" w:w="50"/>
              <w:left w:type="dxa" w:w="80"/>
              <w:bottom w:type="dxa" w:w="50"/>
              <w:right w:type="dxa" w:w="80"/>
            </w:tcMar>
            <w:vAlign w:val="top"/>
          </w:tcPr>
          <w:p>
            <w:pPr>
              <w:spacing w:after="40" w:before="40" w:line="252"/>
            </w:pPr>
            <w:r>
              <w:rPr>
                <w:b/>
                <w:bCs/>
                <w:sz w:val="18"/>
                <w:szCs w:val="18"/>
              </w:rPr>
              <w:t xml:space="preserve">Capítulo</w:t>
            </w:r>
          </w:p>
        </w:tc>
        <w:tc>
          <w:tcPr>
            <w:tcW w:type="dxa" w:w="900"/>
            <w:shd w:fill="DCE6F1" w:color="auto" w:val="clear"/>
            <w:tcMar>
              <w:top w:type="dxa" w:w="50"/>
              <w:left w:type="dxa" w:w="80"/>
              <w:bottom w:type="dxa" w:w="50"/>
              <w:right w:type="dxa" w:w="80"/>
            </w:tcMar>
            <w:vAlign w:val="top"/>
          </w:tcPr>
          <w:p>
            <w:pPr>
              <w:spacing w:after="40" w:before="40" w:line="252"/>
            </w:pPr>
            <w:r>
              <w:rPr>
                <w:b/>
                <w:bCs/>
                <w:sz w:val="18"/>
                <w:szCs w:val="18"/>
              </w:rPr>
              <w:t xml:space="preserve">Puntaje</w:t>
            </w:r>
          </w:p>
        </w:tc>
        <w:tc>
          <w:tcPr>
            <w:tcW w:type="dxa" w:w="5106"/>
            <w:shd w:fill="DCE6F1" w:color="auto" w:val="clear"/>
            <w:tcMar>
              <w:top w:type="dxa" w:w="50"/>
              <w:left w:type="dxa" w:w="80"/>
              <w:bottom w:type="dxa" w:w="50"/>
              <w:right w:type="dxa" w:w="80"/>
            </w:tcMar>
            <w:vAlign w:val="top"/>
          </w:tcPr>
          <w:p>
            <w:pPr>
              <w:spacing w:after="40" w:before="40" w:line="252"/>
            </w:pPr>
            <w:r>
              <w:rPr>
                <w:b/>
                <w:bCs/>
                <w:sz w:val="18"/>
                <w:szCs w:val="18"/>
              </w:rPr>
              <w:t xml:space="preserve">Fundamento</w:t>
            </w:r>
          </w:p>
        </w:tc>
      </w:tr>
      <w:tr>
        <w:tc>
          <w:tcPr>
            <w:tcW w:type="dxa" w:w="620"/>
            <w:tcMar>
              <w:top w:type="dxa" w:w="50"/>
              <w:left w:type="dxa" w:w="80"/>
              <w:bottom w:type="dxa" w:w="50"/>
              <w:right w:type="dxa" w:w="80"/>
            </w:tcMar>
            <w:vAlign w:val="top"/>
          </w:tcPr>
          <w:p>
            <w:pPr>
              <w:spacing w:after="40" w:before="40" w:line="252"/>
              <w:jc w:val="center"/>
            </w:pPr>
            <w:r>
              <w:rPr>
                <w:sz w:val="18"/>
                <w:szCs w:val="18"/>
              </w:rPr>
              <w:t xml:space="preserve">1</w:t>
            </w:r>
          </w:p>
        </w:tc>
        <w:tc>
          <w:tcPr>
            <w:tcW w:type="dxa" w:w="2400"/>
            <w:tcMar>
              <w:top w:type="dxa" w:w="50"/>
              <w:left w:type="dxa" w:w="80"/>
              <w:bottom w:type="dxa" w:w="50"/>
              <w:right w:type="dxa" w:w="80"/>
            </w:tcMar>
            <w:vAlign w:val="top"/>
          </w:tcPr>
          <w:p>
            <w:pPr>
              <w:spacing w:after="40" w:before="40" w:line="252"/>
            </w:pPr>
            <w:r>
              <w:rPr>
                <w:sz w:val="18"/>
                <w:szCs w:val="18"/>
              </w:rPr>
              <w:t xml:space="preserve">Introducción</w:t>
            </w:r>
          </w:p>
        </w:tc>
        <w:tc>
          <w:tcPr>
            <w:tcW w:type="dxa" w:w="900"/>
            <w:tcMar>
              <w:top w:type="dxa" w:w="50"/>
              <w:left w:type="dxa" w:w="80"/>
              <w:bottom w:type="dxa" w:w="50"/>
              <w:right w:type="dxa" w:w="80"/>
            </w:tcMar>
            <w:vAlign w:val="top"/>
          </w:tcPr>
          <w:p>
            <w:pPr>
              <w:spacing w:after="40" w:before="40" w:line="252"/>
              <w:jc w:val="center"/>
            </w:pPr>
            <w:r>
              <w:rPr>
                <w:sz w:val="18"/>
                <w:szCs w:val="18"/>
              </w:rPr>
              <w:t xml:space="preserve">4,0</w:t>
            </w:r>
          </w:p>
        </w:tc>
        <w:tc>
          <w:tcPr>
            <w:tcW w:type="dxa" w:w="5106"/>
            <w:tcMar>
              <w:top w:type="dxa" w:w="50"/>
              <w:left w:type="dxa" w:w="80"/>
              <w:bottom w:type="dxa" w:w="50"/>
              <w:right w:type="dxa" w:w="80"/>
            </w:tcMar>
            <w:vAlign w:val="top"/>
          </w:tcPr>
          <w:p>
            <w:pPr>
              <w:spacing w:after="40" w:before="40" w:line="252"/>
            </w:pPr>
            <w:r>
              <w:rPr>
                <w:sz w:val="18"/>
                <w:szCs w:val="18"/>
              </w:rPr>
              <w:t xml:space="preserve">Pregunta de investigación bien formulada y tres hipótesis operacionalizadas con umbral explícito, que es lo correcto. En contra: el capítulo no contiene una sola cita, y la línea de base de 5 a 30 minutos —denominador de todas las afirmaciones de impacto— no está medida ni referenciada.</w:t>
            </w:r>
          </w:p>
        </w:tc>
      </w:tr>
      <w:tr>
        <w:tc>
          <w:tcPr>
            <w:tcW w:type="dxa" w:w="620"/>
            <w:shd w:fill="F4F7FB" w:color="auto" w:val="clear"/>
            <w:tcMar>
              <w:top w:type="dxa" w:w="50"/>
              <w:left w:type="dxa" w:w="80"/>
              <w:bottom w:type="dxa" w:w="50"/>
              <w:right w:type="dxa" w:w="80"/>
            </w:tcMar>
            <w:vAlign w:val="top"/>
          </w:tcPr>
          <w:p>
            <w:pPr>
              <w:spacing w:after="40" w:before="40" w:line="252"/>
              <w:jc w:val="center"/>
            </w:pPr>
            <w:r>
              <w:rPr>
                <w:sz w:val="18"/>
                <w:szCs w:val="18"/>
              </w:rPr>
              <w:t xml:space="preserve">2</w:t>
            </w:r>
          </w:p>
        </w:tc>
        <w:tc>
          <w:tcPr>
            <w:tcW w:type="dxa" w:w="2400"/>
            <w:shd w:fill="F4F7FB" w:color="auto" w:val="clear"/>
            <w:tcMar>
              <w:top w:type="dxa" w:w="50"/>
              <w:left w:type="dxa" w:w="80"/>
              <w:bottom w:type="dxa" w:w="50"/>
              <w:right w:type="dxa" w:w="80"/>
            </w:tcMar>
            <w:vAlign w:val="top"/>
          </w:tcPr>
          <w:p>
            <w:pPr>
              <w:spacing w:after="40" w:before="40" w:line="252"/>
            </w:pPr>
            <w:r>
              <w:rPr>
                <w:sz w:val="18"/>
                <w:szCs w:val="18"/>
              </w:rPr>
              <w:t xml:space="preserve">Marco Teórico</w:t>
            </w:r>
          </w:p>
        </w:tc>
        <w:tc>
          <w:tcPr>
            <w:tcW w:type="dxa" w:w="900"/>
            <w:shd w:fill="F4F7FB" w:color="auto" w:val="clear"/>
            <w:tcMar>
              <w:top w:type="dxa" w:w="50"/>
              <w:left w:type="dxa" w:w="80"/>
              <w:bottom w:type="dxa" w:w="50"/>
              <w:right w:type="dxa" w:w="80"/>
            </w:tcMar>
            <w:vAlign w:val="top"/>
          </w:tcPr>
          <w:p>
            <w:pPr>
              <w:spacing w:after="40" w:before="40" w:line="252"/>
              <w:jc w:val="center"/>
            </w:pPr>
            <w:r>
              <w:rPr>
                <w:sz w:val="18"/>
                <w:szCs w:val="18"/>
              </w:rPr>
              <w:t xml:space="preserve">4,5</w:t>
            </w:r>
          </w:p>
        </w:tc>
        <w:tc>
          <w:tcPr>
            <w:tcW w:type="dxa" w:w="5106"/>
            <w:shd w:fill="F4F7FB" w:color="auto" w:val="clear"/>
            <w:tcMar>
              <w:top w:type="dxa" w:w="50"/>
              <w:left w:type="dxa" w:w="80"/>
              <w:bottom w:type="dxa" w:w="50"/>
              <w:right w:type="dxa" w:w="80"/>
            </w:tcMar>
            <w:vAlign w:val="top"/>
          </w:tcPr>
          <w:p>
            <w:pPr>
              <w:spacing w:after="40" w:before="40" w:line="252"/>
            </w:pPr>
            <w:r>
              <w:rPr>
                <w:sz w:val="18"/>
                <w:szCs w:val="18"/>
              </w:rPr>
              <w:t xml:space="preserve">La discusión sobre transferibilidad de las métricas es el mejor pasaje del trabajo. En contra: cuatro afirmaciones atribuidas a fuentes que no las sostienen, incluida la que funda el umbral de una hipótesis, y una premisa falsa sobre el balance de clases que justifica la elección de la métrica de evaluación.</w:t>
            </w:r>
          </w:p>
        </w:tc>
      </w:tr>
      <w:tr>
        <w:tc>
          <w:tcPr>
            <w:tcW w:type="dxa" w:w="620"/>
            <w:tcMar>
              <w:top w:type="dxa" w:w="50"/>
              <w:left w:type="dxa" w:w="80"/>
              <w:bottom w:type="dxa" w:w="50"/>
              <w:right w:type="dxa" w:w="80"/>
            </w:tcMar>
            <w:vAlign w:val="top"/>
          </w:tcPr>
          <w:p>
            <w:pPr>
              <w:spacing w:after="40" w:before="40" w:line="252"/>
              <w:jc w:val="center"/>
            </w:pPr>
            <w:r>
              <w:rPr>
                <w:sz w:val="18"/>
                <w:szCs w:val="18"/>
              </w:rPr>
              <w:t xml:space="preserve">3</w:t>
            </w:r>
          </w:p>
        </w:tc>
        <w:tc>
          <w:tcPr>
            <w:tcW w:type="dxa" w:w="2400"/>
            <w:tcMar>
              <w:top w:type="dxa" w:w="50"/>
              <w:left w:type="dxa" w:w="80"/>
              <w:bottom w:type="dxa" w:w="50"/>
              <w:right w:type="dxa" w:w="80"/>
            </w:tcMar>
            <w:vAlign w:val="top"/>
          </w:tcPr>
          <w:p>
            <w:pPr>
              <w:spacing w:after="40" w:before="40" w:line="252"/>
            </w:pPr>
            <w:r>
              <w:rPr>
                <w:sz w:val="18"/>
                <w:szCs w:val="18"/>
              </w:rPr>
              <w:t xml:space="preserve">Marco Metodológico</w:t>
            </w:r>
          </w:p>
        </w:tc>
        <w:tc>
          <w:tcPr>
            <w:tcW w:type="dxa" w:w="900"/>
            <w:tcMar>
              <w:top w:type="dxa" w:w="50"/>
              <w:left w:type="dxa" w:w="80"/>
              <w:bottom w:type="dxa" w:w="50"/>
              <w:right w:type="dxa" w:w="80"/>
            </w:tcMar>
            <w:vAlign w:val="top"/>
          </w:tcPr>
          <w:p>
            <w:pPr>
              <w:spacing w:after="40" w:before="40" w:line="252"/>
              <w:jc w:val="center"/>
            </w:pPr>
            <w:r>
              <w:rPr>
                <w:sz w:val="18"/>
                <w:szCs w:val="18"/>
              </w:rPr>
              <w:t xml:space="preserve">4,5</w:t>
            </w:r>
          </w:p>
        </w:tc>
        <w:tc>
          <w:tcPr>
            <w:tcW w:type="dxa" w:w="5106"/>
            <w:tcMar>
              <w:top w:type="dxa" w:w="50"/>
              <w:left w:type="dxa" w:w="80"/>
              <w:bottom w:type="dxa" w:w="50"/>
              <w:right w:type="dxa" w:w="80"/>
            </w:tcMar>
            <w:vAlign w:val="top"/>
          </w:tcPr>
          <w:p>
            <w:pPr>
              <w:spacing w:after="40" w:before="40" w:line="252"/>
            </w:pPr>
            <w:r>
              <w:rPr>
                <w:sz w:val="18"/>
                <w:szCs w:val="18"/>
              </w:rPr>
              <w:t xml:space="preserve">Estructura correcta, con estudio de caso instrumental según Yin y las cuatro amenazas a la validez. En contra: la justificación del tamaño muestral es aritméticamente incorrecta y se refuta a sí misma, el ground truth es circular y sin medida de acuerdo, hay contradicción entre media y mediana, y el supuesto de normalidad se afirma sin prueba y contra los propios datos.</w:t>
            </w:r>
          </w:p>
        </w:tc>
      </w:tr>
      <w:tr>
        <w:tc>
          <w:tcPr>
            <w:tcW w:type="dxa" w:w="620"/>
            <w:shd w:fill="F4F7FB" w:color="auto" w:val="clear"/>
            <w:tcMar>
              <w:top w:type="dxa" w:w="50"/>
              <w:left w:type="dxa" w:w="80"/>
              <w:bottom w:type="dxa" w:w="50"/>
              <w:right w:type="dxa" w:w="80"/>
            </w:tcMar>
            <w:vAlign w:val="top"/>
          </w:tcPr>
          <w:p>
            <w:pPr>
              <w:spacing w:after="40" w:before="40" w:line="252"/>
              <w:jc w:val="center"/>
            </w:pPr>
            <w:r>
              <w:rPr>
                <w:sz w:val="18"/>
                <w:szCs w:val="18"/>
              </w:rPr>
              <w:t xml:space="preserve">4</w:t>
            </w:r>
          </w:p>
        </w:tc>
        <w:tc>
          <w:tcPr>
            <w:tcW w:type="dxa" w:w="2400"/>
            <w:shd w:fill="F4F7FB" w:color="auto" w:val="clear"/>
            <w:tcMar>
              <w:top w:type="dxa" w:w="50"/>
              <w:left w:type="dxa" w:w="80"/>
              <w:bottom w:type="dxa" w:w="50"/>
              <w:right w:type="dxa" w:w="80"/>
            </w:tcMar>
            <w:vAlign w:val="top"/>
          </w:tcPr>
          <w:p>
            <w:pPr>
              <w:spacing w:after="40" w:before="40" w:line="252"/>
            </w:pPr>
            <w:r>
              <w:rPr>
                <w:sz w:val="18"/>
                <w:szCs w:val="18"/>
              </w:rPr>
              <w:t xml:space="preserve">Desarrollo del Estudio</w:t>
            </w:r>
          </w:p>
        </w:tc>
        <w:tc>
          <w:tcPr>
            <w:tcW w:type="dxa" w:w="900"/>
            <w:shd w:fill="F4F7FB" w:color="auto" w:val="clear"/>
            <w:tcMar>
              <w:top w:type="dxa" w:w="50"/>
              <w:left w:type="dxa" w:w="80"/>
              <w:bottom w:type="dxa" w:w="50"/>
              <w:right w:type="dxa" w:w="80"/>
            </w:tcMar>
            <w:vAlign w:val="top"/>
          </w:tcPr>
          <w:p>
            <w:pPr>
              <w:spacing w:after="40" w:before="40" w:line="252"/>
              <w:jc w:val="center"/>
            </w:pPr>
            <w:r>
              <w:rPr>
                <w:sz w:val="18"/>
                <w:szCs w:val="18"/>
              </w:rPr>
              <w:t xml:space="preserve">4,5</w:t>
            </w:r>
          </w:p>
        </w:tc>
        <w:tc>
          <w:tcPr>
            <w:tcW w:type="dxa" w:w="5106"/>
            <w:shd w:fill="F4F7FB" w:color="auto" w:val="clear"/>
            <w:tcMar>
              <w:top w:type="dxa" w:w="50"/>
              <w:left w:type="dxa" w:w="80"/>
              <w:bottom w:type="dxa" w:w="50"/>
              <w:right w:type="dxa" w:w="80"/>
            </w:tcMar>
            <w:vAlign w:val="top"/>
          </w:tcPr>
          <w:p>
            <w:pPr>
              <w:spacing w:after="40" w:before="40" w:line="252"/>
            </w:pPr>
            <w:r>
              <w:rPr>
                <w:sz w:val="18"/>
                <w:szCs w:val="18"/>
              </w:rPr>
              <w:t xml:space="preserve">Arquitectura razonable, diagrama entidad-relación bien construido y decisiones técnicas correctas en varios puntos. En contra: la tabla de nodos del Flujo 2 describe un workflow que no existe en ninguna figura, el esquema carece de índices que el objetivo promete y de una tabla de ítems que un comercio electrónico requiere, y no se publican ni el DDL completo ni el prompt de sistema, que son los dos artefactos centrales.</w:t>
            </w:r>
          </w:p>
        </w:tc>
      </w:tr>
      <w:tr>
        <w:tc>
          <w:tcPr>
            <w:tcW w:type="dxa" w:w="620"/>
            <w:tcMar>
              <w:top w:type="dxa" w:w="50"/>
              <w:left w:type="dxa" w:w="80"/>
              <w:bottom w:type="dxa" w:w="50"/>
              <w:right w:type="dxa" w:w="80"/>
            </w:tcMar>
            <w:vAlign w:val="top"/>
          </w:tcPr>
          <w:p>
            <w:pPr>
              <w:spacing w:after="40" w:before="40" w:line="252"/>
              <w:jc w:val="center"/>
            </w:pPr>
            <w:r>
              <w:rPr>
                <w:sz w:val="18"/>
                <w:szCs w:val="18"/>
              </w:rPr>
              <w:t xml:space="preserve">5</w:t>
            </w:r>
          </w:p>
        </w:tc>
        <w:tc>
          <w:tcPr>
            <w:tcW w:type="dxa" w:w="2400"/>
            <w:tcMar>
              <w:top w:type="dxa" w:w="50"/>
              <w:left w:type="dxa" w:w="80"/>
              <w:bottom w:type="dxa" w:w="50"/>
              <w:right w:type="dxa" w:w="80"/>
            </w:tcMar>
            <w:vAlign w:val="top"/>
          </w:tcPr>
          <w:p>
            <w:pPr>
              <w:spacing w:after="40" w:before="40" w:line="252"/>
            </w:pPr>
            <w:r>
              <w:rPr>
                <w:sz w:val="18"/>
                <w:szCs w:val="18"/>
              </w:rPr>
              <w:t xml:space="preserve">Resultados y Análisis</w:t>
            </w:r>
          </w:p>
        </w:tc>
        <w:tc>
          <w:tcPr>
            <w:tcW w:type="dxa" w:w="900"/>
            <w:tcMar>
              <w:top w:type="dxa" w:w="50"/>
              <w:left w:type="dxa" w:w="80"/>
              <w:bottom w:type="dxa" w:w="50"/>
              <w:right w:type="dxa" w:w="80"/>
            </w:tcMar>
            <w:vAlign w:val="top"/>
          </w:tcPr>
          <w:p>
            <w:pPr>
              <w:spacing w:after="40" w:before="40" w:line="252"/>
              <w:jc w:val="center"/>
            </w:pPr>
            <w:r>
              <w:rPr>
                <w:sz w:val="18"/>
                <w:szCs w:val="18"/>
              </w:rPr>
              <w:t xml:space="preserve">2,0</w:t>
            </w:r>
          </w:p>
        </w:tc>
        <w:tc>
          <w:tcPr>
            <w:tcW w:type="dxa" w:w="5106"/>
            <w:tcMar>
              <w:top w:type="dxa" w:w="50"/>
              <w:left w:type="dxa" w:w="80"/>
              <w:bottom w:type="dxa" w:w="50"/>
              <w:right w:type="dxa" w:w="80"/>
            </w:tcMar>
            <w:vAlign w:val="top"/>
          </w:tcPr>
          <w:p>
            <w:pPr>
              <w:spacing w:after="40" w:before="40" w:line="252"/>
            </w:pPr>
            <w:r>
              <w:rPr>
                <w:sz w:val="18"/>
                <w:szCs w:val="18"/>
              </w:rPr>
              <w:t xml:space="preserve">Aritmética interna de tablas correcta y dos pasajes de honestidad destacables. En contra: dos figuras contradicen numéricamente las tablas, una es aritméticamente imposible, dos son la misma imagen, el tiempo de respuesta es idéntico en cuatro grupos distintos, los factores de mejora están errados en un factor seis y diez, y la tercera hipótesis se declara confirmada sin sustento estadístico.</w:t>
            </w:r>
          </w:p>
        </w:tc>
      </w:tr>
      <w:tr>
        <w:tc>
          <w:tcPr>
            <w:tcW w:type="dxa" w:w="620"/>
            <w:shd w:fill="F4F7FB" w:color="auto" w:val="clear"/>
            <w:tcMar>
              <w:top w:type="dxa" w:w="50"/>
              <w:left w:type="dxa" w:w="80"/>
              <w:bottom w:type="dxa" w:w="50"/>
              <w:right w:type="dxa" w:w="80"/>
            </w:tcMar>
            <w:vAlign w:val="top"/>
          </w:tcPr>
          <w:p>
            <w:pPr>
              <w:spacing w:after="40" w:before="40" w:line="252"/>
              <w:jc w:val="center"/>
            </w:pPr>
            <w:r>
              <w:rPr>
                <w:sz w:val="18"/>
                <w:szCs w:val="18"/>
              </w:rPr>
              <w:t xml:space="preserve">6</w:t>
            </w:r>
          </w:p>
        </w:tc>
        <w:tc>
          <w:tcPr>
            <w:tcW w:type="dxa" w:w="2400"/>
            <w:shd w:fill="F4F7FB" w:color="auto" w:val="clear"/>
            <w:tcMar>
              <w:top w:type="dxa" w:w="50"/>
              <w:left w:type="dxa" w:w="80"/>
              <w:bottom w:type="dxa" w:w="50"/>
              <w:right w:type="dxa" w:w="80"/>
            </w:tcMar>
            <w:vAlign w:val="top"/>
          </w:tcPr>
          <w:p>
            <w:pPr>
              <w:spacing w:after="40" w:before="40" w:line="252"/>
            </w:pPr>
            <w:r>
              <w:rPr>
                <w:sz w:val="18"/>
                <w:szCs w:val="18"/>
              </w:rPr>
              <w:t xml:space="preserve">Conclusiones</w:t>
            </w:r>
          </w:p>
        </w:tc>
        <w:tc>
          <w:tcPr>
            <w:tcW w:type="dxa" w:w="900"/>
            <w:shd w:fill="F4F7FB" w:color="auto" w:val="clear"/>
            <w:tcMar>
              <w:top w:type="dxa" w:w="50"/>
              <w:left w:type="dxa" w:w="80"/>
              <w:bottom w:type="dxa" w:w="50"/>
              <w:right w:type="dxa" w:w="80"/>
            </w:tcMar>
            <w:vAlign w:val="top"/>
          </w:tcPr>
          <w:p>
            <w:pPr>
              <w:spacing w:after="40" w:before="40" w:line="252"/>
              <w:jc w:val="center"/>
            </w:pPr>
            <w:r>
              <w:rPr>
                <w:sz w:val="18"/>
                <w:szCs w:val="18"/>
              </w:rPr>
              <w:t xml:space="preserve">4,0</w:t>
            </w:r>
          </w:p>
        </w:tc>
        <w:tc>
          <w:tcPr>
            <w:tcW w:type="dxa" w:w="5106"/>
            <w:shd w:fill="F4F7FB" w:color="auto" w:val="clear"/>
            <w:tcMar>
              <w:top w:type="dxa" w:w="50"/>
              <w:left w:type="dxa" w:w="80"/>
              <w:bottom w:type="dxa" w:w="50"/>
              <w:right w:type="dxa" w:w="80"/>
            </w:tcMar>
            <w:vAlign w:val="top"/>
          </w:tcPr>
          <w:p>
            <w:pPr>
              <w:spacing w:after="40" w:before="40" w:line="252"/>
            </w:pPr>
            <w:r>
              <w:rPr>
                <w:sz w:val="18"/>
                <w:szCs w:val="18"/>
              </w:rPr>
              <w:t xml:space="preserve">La sección de limitaciones del estudio es adecuada y la respuesta a la pregunta de investigación está bien estructurada. En contra: declara cumplido el objetivo del chatbot omnicanal, que no se cumplió, y el de los índices de base de datos, que no existen.</w:t>
            </w:r>
          </w:p>
        </w:tc>
      </w:tr>
      <w:tr>
        <w:tc>
          <w:tcPr>
            <w:tcW w:type="dxa" w:w="620"/>
            <w:tcMar>
              <w:top w:type="dxa" w:w="50"/>
              <w:left w:type="dxa" w:w="80"/>
              <w:bottom w:type="dxa" w:w="50"/>
              <w:right w:type="dxa" w:w="80"/>
            </w:tcMar>
            <w:vAlign w:val="top"/>
          </w:tcPr>
          <w:p>
            <w:pPr>
              <w:spacing w:after="40" w:before="40" w:line="252"/>
              <w:jc w:val="center"/>
            </w:pPr>
            <w:r>
              <w:rPr>
                <w:sz w:val="18"/>
                <w:szCs w:val="18"/>
              </w:rPr>
              <w:t xml:space="preserve">7</w:t>
            </w:r>
          </w:p>
        </w:tc>
        <w:tc>
          <w:tcPr>
            <w:tcW w:type="dxa" w:w="2400"/>
            <w:tcMar>
              <w:top w:type="dxa" w:w="50"/>
              <w:left w:type="dxa" w:w="80"/>
              <w:bottom w:type="dxa" w:w="50"/>
              <w:right w:type="dxa" w:w="80"/>
            </w:tcMar>
            <w:vAlign w:val="top"/>
          </w:tcPr>
          <w:p>
            <w:pPr>
              <w:spacing w:after="40" w:before="40" w:line="252"/>
            </w:pPr>
            <w:r>
              <w:rPr>
                <w:sz w:val="18"/>
                <w:szCs w:val="18"/>
              </w:rPr>
              <w:t xml:space="preserve">Recomendaciones</w:t>
            </w:r>
          </w:p>
        </w:tc>
        <w:tc>
          <w:tcPr>
            <w:tcW w:type="dxa" w:w="900"/>
            <w:tcMar>
              <w:top w:type="dxa" w:w="50"/>
              <w:left w:type="dxa" w:w="80"/>
              <w:bottom w:type="dxa" w:w="50"/>
              <w:right w:type="dxa" w:w="80"/>
            </w:tcMar>
            <w:vAlign w:val="top"/>
          </w:tcPr>
          <w:p>
            <w:pPr>
              <w:spacing w:after="40" w:before="40" w:line="252"/>
              <w:jc w:val="center"/>
            </w:pPr>
            <w:r>
              <w:rPr>
                <w:sz w:val="18"/>
                <w:szCs w:val="18"/>
              </w:rPr>
              <w:t xml:space="preserve">6,5</w:t>
            </w:r>
          </w:p>
        </w:tc>
        <w:tc>
          <w:tcPr>
            <w:tcW w:type="dxa" w:w="5106"/>
            <w:tcMar>
              <w:top w:type="dxa" w:w="50"/>
              <w:left w:type="dxa" w:w="80"/>
              <w:bottom w:type="dxa" w:w="50"/>
              <w:right w:type="dxa" w:w="80"/>
            </w:tcMar>
            <w:vAlign w:val="top"/>
          </w:tcPr>
          <w:p>
            <w:pPr>
              <w:spacing w:after="40" w:before="40" w:line="252"/>
            </w:pPr>
            <w:r>
              <w:rPr>
                <w:sz w:val="18"/>
                <w:szCs w:val="18"/>
              </w:rPr>
              <w:t xml:space="preserve">Es la sección mejor resuelta del trabajo. Identifica con precisión lo que falta para un despliegue productivo —autenticación de webhooks, limitación de tasa, cortacircuitos, caché, evaluación de modelos locales— y las líneas futuras son pertinentes y están bien priorizadas.</w:t>
            </w:r>
          </w:p>
        </w:tc>
      </w:tr>
      <w:tr>
        <w:tc>
          <w:tcPr>
            <w:tcW w:type="dxa" w:w="620"/>
            <w:shd w:fill="F4F7FB" w:color="auto" w:val="clear"/>
            <w:tcMar>
              <w:top w:type="dxa" w:w="50"/>
              <w:left w:type="dxa" w:w="80"/>
              <w:bottom w:type="dxa" w:w="50"/>
              <w:right w:type="dxa" w:w="80"/>
            </w:tcMar>
            <w:vAlign w:val="top"/>
          </w:tcPr>
          <w:p>
            <w:pPr>
              <w:spacing w:after="40" w:before="40" w:line="252"/>
              <w:jc w:val="center"/>
            </w:pPr>
            <w:r>
              <w:rPr>
                <w:sz w:val="18"/>
                <w:szCs w:val="18"/>
              </w:rPr>
              <w:t xml:space="preserve">8</w:t>
            </w:r>
          </w:p>
        </w:tc>
        <w:tc>
          <w:tcPr>
            <w:tcW w:type="dxa" w:w="2400"/>
            <w:shd w:fill="F4F7FB" w:color="auto" w:val="clear"/>
            <w:tcMar>
              <w:top w:type="dxa" w:w="50"/>
              <w:left w:type="dxa" w:w="80"/>
              <w:bottom w:type="dxa" w:w="50"/>
              <w:right w:type="dxa" w:w="80"/>
            </w:tcMar>
            <w:vAlign w:val="top"/>
          </w:tcPr>
          <w:p>
            <w:pPr>
              <w:spacing w:after="40" w:before="40" w:line="252"/>
            </w:pPr>
            <w:r>
              <w:rPr>
                <w:sz w:val="18"/>
                <w:szCs w:val="18"/>
              </w:rPr>
              <w:t xml:space="preserve">Referencias</w:t>
            </w:r>
          </w:p>
        </w:tc>
        <w:tc>
          <w:tcPr>
            <w:tcW w:type="dxa" w:w="900"/>
            <w:shd w:fill="F4F7FB" w:color="auto" w:val="clear"/>
            <w:tcMar>
              <w:top w:type="dxa" w:w="50"/>
              <w:left w:type="dxa" w:w="80"/>
              <w:bottom w:type="dxa" w:w="50"/>
              <w:right w:type="dxa" w:w="80"/>
            </w:tcMar>
            <w:vAlign w:val="top"/>
          </w:tcPr>
          <w:p>
            <w:pPr>
              <w:spacing w:after="40" w:before="40" w:line="252"/>
              <w:jc w:val="center"/>
            </w:pPr>
            <w:r>
              <w:rPr>
                <w:sz w:val="18"/>
                <w:szCs w:val="18"/>
              </w:rPr>
              <w:t xml:space="preserve">3,0</w:t>
            </w:r>
          </w:p>
        </w:tc>
        <w:tc>
          <w:tcPr>
            <w:tcW w:type="dxa" w:w="5106"/>
            <w:shd w:fill="F4F7FB" w:color="auto" w:val="clear"/>
            <w:tcMar>
              <w:top w:type="dxa" w:w="50"/>
              <w:left w:type="dxa" w:w="80"/>
              <w:bottom w:type="dxa" w:w="50"/>
              <w:right w:type="dxa" w:w="80"/>
            </w:tcMar>
            <w:vAlign w:val="top"/>
          </w:tcPr>
          <w:p>
            <w:pPr>
              <w:spacing w:after="40" w:before="40" w:line="252"/>
            </w:pPr>
            <w:r>
              <w:rPr>
                <w:sz w:val="18"/>
                <w:szCs w:val="18"/>
              </w:rPr>
              <w:t xml:space="preserve">Orden alfabético interno impecable, sin residuos de la norma anterior y con DOI bien formateados. En contra: una entrada cuya autoría no corresponde a ninguna publicación real y que además funda el umbral de una hipótesis, tres citas sin entrada, lista partida en dos, sin sangría francesa y con cursivas mal aplicadas en todas las entradas de revista.</w:t>
            </w:r>
          </w:p>
        </w:tc>
      </w:tr>
      <w:tr>
        <w:tc>
          <w:tcPr>
            <w:tcW w:type="dxa" w:w="620"/>
            <w:tcMar>
              <w:top w:type="dxa" w:w="50"/>
              <w:left w:type="dxa" w:w="80"/>
              <w:bottom w:type="dxa" w:w="50"/>
              <w:right w:type="dxa" w:w="80"/>
            </w:tcMar>
            <w:vAlign w:val="top"/>
          </w:tcPr>
          <w:p>
            <w:pPr>
              <w:spacing w:after="40" w:before="40" w:line="252"/>
              <w:jc w:val="center"/>
            </w:pPr>
            <w:r>
              <w:rPr>
                <w:sz w:val="18"/>
                <w:szCs w:val="18"/>
              </w:rPr>
              <w:t xml:space="preserve">9</w:t>
            </w:r>
          </w:p>
        </w:tc>
        <w:tc>
          <w:tcPr>
            <w:tcW w:type="dxa" w:w="2400"/>
            <w:tcMar>
              <w:top w:type="dxa" w:w="50"/>
              <w:left w:type="dxa" w:w="80"/>
              <w:bottom w:type="dxa" w:w="50"/>
              <w:right w:type="dxa" w:w="80"/>
            </w:tcMar>
            <w:vAlign w:val="top"/>
          </w:tcPr>
          <w:p>
            <w:pPr>
              <w:spacing w:after="40" w:before="40" w:line="252"/>
            </w:pPr>
            <w:r>
              <w:rPr>
                <w:sz w:val="18"/>
                <w:szCs w:val="18"/>
              </w:rPr>
              <w:t xml:space="preserve">Anexos</w:t>
            </w:r>
          </w:p>
        </w:tc>
        <w:tc>
          <w:tcPr>
            <w:tcW w:type="dxa" w:w="900"/>
            <w:tcMar>
              <w:top w:type="dxa" w:w="50"/>
              <w:left w:type="dxa" w:w="80"/>
              <w:bottom w:type="dxa" w:w="50"/>
              <w:right w:type="dxa" w:w="80"/>
            </w:tcMar>
            <w:vAlign w:val="top"/>
          </w:tcPr>
          <w:p>
            <w:pPr>
              <w:spacing w:after="40" w:before="40" w:line="252"/>
              <w:jc w:val="center"/>
            </w:pPr>
            <w:r>
              <w:rPr>
                <w:sz w:val="18"/>
                <w:szCs w:val="18"/>
              </w:rPr>
              <w:t xml:space="preserve">4,0</w:t>
            </w:r>
          </w:p>
        </w:tc>
        <w:tc>
          <w:tcPr>
            <w:tcW w:type="dxa" w:w="5106"/>
            <w:tcMar>
              <w:top w:type="dxa" w:w="50"/>
              <w:left w:type="dxa" w:w="80"/>
              <w:bottom w:type="dxa" w:w="50"/>
              <w:right w:type="dxa" w:w="80"/>
            </w:tcMar>
            <w:vAlign w:val="top"/>
          </w:tcPr>
          <w:p>
            <w:pPr>
              <w:spacing w:after="40" w:before="40" w:line="252"/>
            </w:pPr>
            <w:r>
              <w:rPr>
                <w:sz w:val="18"/>
                <w:szCs w:val="18"/>
              </w:rPr>
              <w:t xml:space="preserve">El catálogo de productos y las preguntas frecuentes aportan material útil y verificable. En contra: el anexo de comandos publica credenciales por defecto, el resumen de esquema no coincide con el capítulo 4 ni con el diagrama, y no se incluye el DDL completo que la metodología declara como entregable.</w:t>
            </w:r>
          </w:p>
        </w:tc>
      </w:tr>
      <w:tr>
        <w:tc>
          <w:tcPr>
            <w:tcW w:type="dxa" w:w="620"/>
            <w:shd w:fill="F4F7FB" w:color="auto" w:val="clear"/>
            <w:tcMar>
              <w:top w:type="dxa" w:w="50"/>
              <w:left w:type="dxa" w:w="80"/>
              <w:bottom w:type="dxa" w:w="50"/>
              <w:right w:type="dxa" w:w="80"/>
            </w:tcMar>
            <w:vAlign w:val="top"/>
          </w:tcPr>
          <w:p>
            <w:pPr>
              <w:spacing w:after="40" w:before="40" w:line="252"/>
              <w:jc w:val="center"/>
            </w:pPr>
            <w:r>
              <w:rPr>
                <w:sz w:val="18"/>
                <w:szCs w:val="18"/>
              </w:rPr>
              <w:t xml:space="preserve">10</w:t>
            </w:r>
          </w:p>
        </w:tc>
        <w:tc>
          <w:tcPr>
            <w:tcW w:type="dxa" w:w="2400"/>
            <w:shd w:fill="F4F7FB" w:color="auto" w:val="clear"/>
            <w:tcMar>
              <w:top w:type="dxa" w:w="50"/>
              <w:left w:type="dxa" w:w="80"/>
              <w:bottom w:type="dxa" w:w="50"/>
              <w:right w:type="dxa" w:w="80"/>
            </w:tcMar>
            <w:vAlign w:val="top"/>
          </w:tcPr>
          <w:p>
            <w:pPr>
              <w:spacing w:after="40" w:before="40" w:line="252"/>
            </w:pPr>
            <w:r>
              <w:rPr>
                <w:sz w:val="18"/>
                <w:szCs w:val="18"/>
              </w:rPr>
              <w:t xml:space="preserve">Redacción y presentación</w:t>
            </w:r>
          </w:p>
        </w:tc>
        <w:tc>
          <w:tcPr>
            <w:tcW w:type="dxa" w:w="900"/>
            <w:shd w:fill="F4F7FB" w:color="auto" w:val="clear"/>
            <w:tcMar>
              <w:top w:type="dxa" w:w="50"/>
              <w:left w:type="dxa" w:w="80"/>
              <w:bottom w:type="dxa" w:w="50"/>
              <w:right w:type="dxa" w:w="80"/>
            </w:tcMar>
            <w:vAlign w:val="top"/>
          </w:tcPr>
          <w:p>
            <w:pPr>
              <w:spacing w:after="40" w:before="40" w:line="252"/>
              <w:jc w:val="center"/>
            </w:pPr>
            <w:r>
              <w:rPr>
                <w:sz w:val="18"/>
                <w:szCs w:val="18"/>
              </w:rPr>
              <w:t xml:space="preserve">5,0</w:t>
            </w:r>
          </w:p>
        </w:tc>
        <w:tc>
          <w:tcPr>
            <w:tcW w:type="dxa" w:w="5106"/>
            <w:shd w:fill="F4F7FB" w:color="auto" w:val="clear"/>
            <w:tcMar>
              <w:top w:type="dxa" w:w="50"/>
              <w:left w:type="dxa" w:w="80"/>
              <w:bottom w:type="dxa" w:w="50"/>
              <w:right w:type="dxa" w:w="80"/>
            </w:tcMar>
            <w:vAlign w:val="top"/>
          </w:tcPr>
          <w:p>
            <w:pPr>
              <w:spacing w:after="40" w:before="40" w:line="252"/>
            </w:pPr>
            <w:r>
              <w:rPr>
                <w:sz w:val="18"/>
                <w:szCs w:val="18"/>
              </w:rPr>
              <w:t xml:space="preserve">Redacción clara y competente, con índice paginado, listado de figuras y listado de tablas. En contra: artefactos de conversión sin procesar en el cuerpo, índice con entradas defectuosas y faltantes, y ninguna figura o tabla numerada en el cuerpo ni referenciada desde el texto.</w:t>
            </w:r>
          </w:p>
        </w:tc>
      </w:tr>
    </w:tbl>
    <w:p>
      <w:pPr>
        <w:spacing w:after="140"/>
      </w:pPr>
    </w:p>
    <w:p>
      <w:pPr>
        <w:spacing w:after="140" w:line="276"/>
      </w:pPr>
      <w:r>
        <w:rPr>
          <w:b/>
          <w:bCs/>
          <w:sz w:val="21"/>
          <w:szCs w:val="21"/>
        </w:rPr>
        <w:t xml:space="preserve">Promedio global: 4,2 / 10.</w:t>
      </w:r>
    </w:p>
    <w:p>
      <w:pPr>
        <w:pStyle w:val="Heading1"/>
        <w:spacing w:after="160" w:before="340"/>
      </w:pPr>
      <w:r>
        <w:rPr>
          <w:b/>
          <w:bCs/>
          <w:color w:val="1F3864"/>
          <w:sz w:val="28"/>
          <w:szCs w:val="28"/>
        </w:rPr>
        <w:t xml:space="preserve">8. Plan de corrección priorizado</w:t>
      </w:r>
    </w:p>
    <w:p>
      <w:pPr>
        <w:spacing w:after="140" w:line="276"/>
      </w:pPr>
      <w:r>
        <w:rPr>
          <w:sz w:val="21"/>
          <w:szCs w:val="21"/>
        </w:rPr>
        <w:t xml:space="preserve">Ninguna acción de este plan exige rehacer el sistema. La mayor parte exige volver a los datos y a las consultas que los produjeron, y hacer que el documento describa lo que efectivamente se construyó.</w:t>
      </w:r>
    </w:p>
    <w:p>
      <w:pPr>
        <w:pStyle w:val="Heading2"/>
        <w:spacing w:after="120" w:before="250"/>
      </w:pPr>
      <w:r>
        <w:rPr>
          <w:b/>
          <w:bCs/>
          <w:color w:val="2E5496"/>
          <w:sz w:val="23"/>
          <w:szCs w:val="23"/>
        </w:rPr>
        <w:t xml:space="preserve">Bloque 1 — Reconciliar la evidencia (bloqueante)</w:t>
      </w:r>
    </w:p>
    <w:p>
      <w:pPr>
        <w:pStyle w:val="ListParagraph"/>
        <w:numPr>
          <w:ilvl w:val="0"/>
          <w:numId w:val="3"/>
        </w:numPr>
        <w:spacing w:after="100" w:line="276"/>
      </w:pPr>
      <w:r>
        <w:rPr>
          <w:b/>
          <w:bCs/>
          <w:sz w:val="21"/>
          <w:szCs w:val="21"/>
        </w:rPr>
        <w:t xml:space="preserve">Publicar las consultas SQL de las cinco vistas junto con su salida, </w:t>
      </w:r>
      <w:r>
        <w:rPr>
          <w:sz w:val="21"/>
          <w:szCs w:val="21"/>
        </w:rPr>
        <w:t xml:space="preserve">y reconciliar con ellas la tabla de la prueba de carga contra la Figura 3/5 (doce y ocho frente a diecinueve y siete sobre treinta y dos) y las tablas del chatbot contra la Figura 6 (treinta y dos frente a treinta y siete tickets, y las combinaciones de intención que superan el total de interacciones). Sin esto, ninguno de los hallazgos C-03, C-04 y C-05 puede cerrarse.</w:t>
      </w:r>
    </w:p>
    <w:p>
      <w:pPr>
        <w:pStyle w:val="ListParagraph"/>
        <w:numPr>
          <w:ilvl w:val="0"/>
          <w:numId w:val="3"/>
        </w:numPr>
        <w:spacing w:after="100" w:line="276"/>
      </w:pPr>
      <w:r>
        <w:rPr>
          <w:b/>
          <w:bCs/>
          <w:sz w:val="21"/>
          <w:szCs w:val="21"/>
        </w:rPr>
        <w:t xml:space="preserve">Eliminar una de las dos apariciones de la misma imagen </w:t>
      </w:r>
      <w:r>
        <w:rPr>
          <w:sz w:val="21"/>
          <w:szCs w:val="21"/>
        </w:rPr>
        <w:t xml:space="preserve">y, si se conserva como resultado, acompañarla de la captura correspondiente al momento de la prueba, no a la configuración.</w:t>
      </w:r>
    </w:p>
    <w:p>
      <w:pPr>
        <w:pStyle w:val="ListParagraph"/>
        <w:numPr>
          <w:ilvl w:val="0"/>
          <w:numId w:val="3"/>
        </w:numPr>
        <w:spacing w:after="100" w:line="276"/>
      </w:pPr>
      <w:r>
        <w:rPr>
          <w:b/>
          <w:bCs/>
          <w:sz w:val="21"/>
          <w:szCs w:val="21"/>
        </w:rPr>
        <w:t xml:space="preserve">Explicar la discrepancia entre el promedio de resolución y la serie diaria del propio dashboard, </w:t>
      </w:r>
      <w:r>
        <w:rPr>
          <w:sz w:val="21"/>
          <w:szCs w:val="21"/>
        </w:rPr>
        <w:t xml:space="preserve">y aclarar si el promedio bajo carga puede ser idéntico al promedio global. Si el valor correcto es otro, corregirlo en el resumen, en la tabla de hipótesis y en las conclusiones.</w:t>
      </w:r>
    </w:p>
    <w:p>
      <w:pPr>
        <w:pStyle w:val="ListParagraph"/>
        <w:numPr>
          <w:ilvl w:val="0"/>
          <w:numId w:val="3"/>
        </w:numPr>
        <w:spacing w:after="100" w:line="276"/>
      </w:pPr>
      <w:r>
        <w:rPr>
          <w:b/>
          <w:bCs/>
          <w:sz w:val="21"/>
          <w:szCs w:val="21"/>
        </w:rPr>
        <w:t xml:space="preserve">Exhibir el desglose real del tiempo de respuesta por intención. </w:t>
      </w:r>
      <w:r>
        <w:rPr>
          <w:sz w:val="21"/>
          <w:szCs w:val="21"/>
        </w:rPr>
        <w:t xml:space="preserve">Cuatro medias idénticas al centésimo sobre grupos de distinto tamaño y distinta dispersión requieren la consulta de agrupación y su salida.</w:t>
      </w:r>
    </w:p>
    <w:p>
      <w:pPr>
        <w:pStyle w:val="ListParagraph"/>
        <w:numPr>
          <w:ilvl w:val="0"/>
          <w:numId w:val="3"/>
        </w:numPr>
        <w:spacing w:after="100" w:line="276"/>
      </w:pPr>
      <w:r>
        <w:rPr>
          <w:b/>
          <w:bCs/>
          <w:sz w:val="21"/>
          <w:szCs w:val="21"/>
        </w:rPr>
        <w:t xml:space="preserve">Corregir los factores de mejora a 31,6 y 189,9 veces, </w:t>
      </w:r>
      <w:r>
        <w:rPr>
          <w:sz w:val="21"/>
          <w:szCs w:val="21"/>
        </w:rPr>
        <w:t xml:space="preserve">y el porcentaje a 3,16 %, en las secciones 5.3, 5.4 y 6.1 y en el resumen.</w:t>
      </w:r>
    </w:p>
    <w:p>
      <w:pPr>
        <w:pStyle w:val="Heading2"/>
        <w:spacing w:after="120" w:before="250"/>
      </w:pPr>
      <w:r>
        <w:rPr>
          <w:b/>
          <w:bCs/>
          <w:color w:val="2E5496"/>
          <w:sz w:val="23"/>
          <w:szCs w:val="23"/>
        </w:rPr>
        <w:t xml:space="preserve">Bloque 2 — Alcance declarado e integridad bibliográfica (bloqueante)</w:t>
      </w:r>
    </w:p>
    <w:p>
      <w:pPr>
        <w:pStyle w:val="ListParagraph"/>
        <w:numPr>
          <w:ilvl w:val="0"/>
          <w:numId w:val="3"/>
        </w:numPr>
        <w:spacing w:after="100" w:line="276"/>
      </w:pPr>
      <w:r>
        <w:rPr>
          <w:b/>
          <w:bCs/>
          <w:sz w:val="21"/>
          <w:szCs w:val="21"/>
        </w:rPr>
        <w:t xml:space="preserve">Reescribir el alcance del Flujo 2. </w:t>
      </w:r>
      <w:r>
        <w:rPr>
          <w:sz w:val="21"/>
          <w:szCs w:val="21"/>
        </w:rPr>
        <w:t xml:space="preserve">O se implementan y se miden los tres canales, o el resumen, el objetivo específico 2, la tabla de nodos, el título de la sección 5.2 y la evaluación de cumplimiento del capítulo 6 deben decir que se implementó y validó un solo canal con envío simulado. La segunda opción no le quita mérito al trabajo; sostener la primera sin evidencia sí se lo quita.</w:t>
      </w:r>
    </w:p>
    <w:p>
      <w:pPr>
        <w:pStyle w:val="ListParagraph"/>
        <w:numPr>
          <w:ilvl w:val="0"/>
          <w:numId w:val="3"/>
        </w:numPr>
        <w:spacing w:after="100" w:line="276"/>
      </w:pPr>
      <w:r>
        <w:rPr>
          <w:b/>
          <w:bCs/>
          <w:sz w:val="21"/>
          <w:szCs w:val="21"/>
        </w:rPr>
        <w:t xml:space="preserve">Corregir la referencia de la detección de intenciones </w:t>
      </w:r>
      <w:r>
        <w:rPr>
          <w:sz w:val="21"/>
          <w:szCs w:val="21"/>
        </w:rPr>
        <w:t xml:space="preserve">a sus autores reales, y —lo que importa más— re-justificar el umbral del 85 % con una fuente que efectivamente lo sostenga, o declararlo como criterio propio del equipo, que es una opción perfectamente legítima y honesta.</w:t>
      </w:r>
    </w:p>
    <w:p>
      <w:pPr>
        <w:pStyle w:val="ListParagraph"/>
        <w:numPr>
          <w:ilvl w:val="0"/>
          <w:numId w:val="3"/>
        </w:numPr>
        <w:spacing w:after="100" w:line="276"/>
      </w:pPr>
      <w:r>
        <w:rPr>
          <w:b/>
          <w:bCs/>
          <w:sz w:val="21"/>
          <w:szCs w:val="21"/>
        </w:rPr>
        <w:t xml:space="preserve">Retirar o reasignar las cuatro afirmaciones atribuidas a fuentes que no las contienen: </w:t>
      </w:r>
      <w:r>
        <w:rPr>
          <w:sz w:val="21"/>
          <w:szCs w:val="21"/>
        </w:rPr>
        <w:t xml:space="preserve">el porcentaje de expectativa multicanal y el volumen de órdenes diarias por PyME, la afirmación sobre el gestor de base de datos más utilizado, la comparación con resultados de un artículo de revisión y el benchmark de tiempos de respuesta no localizable.</w:t>
      </w:r>
    </w:p>
    <w:p>
      <w:pPr>
        <w:pStyle w:val="ListParagraph"/>
        <w:numPr>
          <w:ilvl w:val="0"/>
          <w:numId w:val="3"/>
        </w:numPr>
        <w:spacing w:after="100" w:line="276"/>
      </w:pPr>
      <w:r>
        <w:rPr>
          <w:b/>
          <w:bCs/>
          <w:sz w:val="21"/>
          <w:szCs w:val="21"/>
        </w:rPr>
        <w:t xml:space="preserve">Citar o medir la línea de base de 5 a 30 minutos, </w:t>
      </w:r>
      <w:r>
        <w:rPr>
          <w:sz w:val="21"/>
          <w:szCs w:val="21"/>
        </w:rPr>
        <w:t xml:space="preserve">o degradarla explícitamente a supuesto de referencia no validado y reformular en consecuencia todas las afirmaciones de impacto. Y agregar citas al Capítulo 1, que hoy no tiene ninguna.</w:t>
      </w:r>
    </w:p>
    <w:p>
      <w:pPr>
        <w:pStyle w:val="ListParagraph"/>
        <w:numPr>
          <w:ilvl w:val="0"/>
          <w:numId w:val="3"/>
        </w:numPr>
        <w:spacing w:after="100" w:line="276"/>
      </w:pPr>
      <w:r>
        <w:rPr>
          <w:b/>
          <w:bCs/>
          <w:sz w:val="21"/>
          <w:szCs w:val="21"/>
        </w:rPr>
        <w:t xml:space="preserve">Regenerar la captura de la bandeja de correo con dominios reservados </w:t>
      </w:r>
      <w:r>
        <w:rPr>
          <w:sz w:val="21"/>
          <w:szCs w:val="21"/>
        </w:rPr>
        <w:t xml:space="preserve">o pixelarla, y eliminar las credenciales por defecto del anexo de comandos.</w:t>
      </w:r>
    </w:p>
    <w:p>
      <w:pPr>
        <w:pStyle w:val="Heading2"/>
        <w:spacing w:after="120" w:before="250"/>
      </w:pPr>
      <w:r>
        <w:rPr>
          <w:b/>
          <w:bCs/>
          <w:color w:val="2E5496"/>
          <w:sz w:val="23"/>
          <w:szCs w:val="23"/>
        </w:rPr>
        <w:t xml:space="preserve">Bloque 3 — Estadística y metodología</w:t>
      </w:r>
    </w:p>
    <w:p>
      <w:pPr>
        <w:pStyle w:val="ListParagraph"/>
        <w:numPr>
          <w:ilvl w:val="0"/>
          <w:numId w:val="3"/>
        </w:numPr>
        <w:spacing w:after="100" w:line="276"/>
      </w:pPr>
      <w:r>
        <w:rPr>
          <w:b/>
          <w:bCs/>
          <w:sz w:val="21"/>
          <w:szCs w:val="21"/>
        </w:rPr>
        <w:t xml:space="preserve">Reportar el intervalo de confianza del 95 % (83,7 % a 94,8 %) y el valor-p de la prueba binomial (0,060), </w:t>
      </w:r>
      <w:r>
        <w:rPr>
          <w:sz w:val="21"/>
          <w:szCs w:val="21"/>
        </w:rPr>
        <w:t xml:space="preserve">y reformular el veredicto de la tercera hipótesis: el valor puntual supera el umbral pero el intervalo lo incluye, y se requeriría una muestra sensiblemente mayor para discriminar. El trabajo ya reconoce la carencia en las limitaciones; basta con trasladarla al veredicto.</w:t>
      </w:r>
    </w:p>
    <w:p>
      <w:pPr>
        <w:pStyle w:val="ListParagraph"/>
        <w:numPr>
          <w:ilvl w:val="0"/>
          <w:numId w:val="3"/>
        </w:numPr>
        <w:spacing w:after="100" w:line="276"/>
      </w:pPr>
      <w:r>
        <w:rPr>
          <w:b/>
          <w:bCs/>
          <w:sz w:val="21"/>
          <w:szCs w:val="21"/>
        </w:rPr>
        <w:t xml:space="preserve">Corregir la justificación del tamaño de muestra </w:t>
      </w:r>
      <w:r>
        <w:rPr>
          <w:sz w:val="21"/>
          <w:szCs w:val="21"/>
        </w:rPr>
        <w:t xml:space="preserve">al valor correcto y reconocer que el margen invocado no permite contrastar la hipótesis, o recalcular con un margen compatible.</w:t>
      </w:r>
    </w:p>
    <w:p>
      <w:pPr>
        <w:pStyle w:val="ListParagraph"/>
        <w:numPr>
          <w:ilvl w:val="0"/>
          <w:numId w:val="3"/>
        </w:numPr>
        <w:spacing w:after="100" w:line="276"/>
      </w:pPr>
      <w:r>
        <w:rPr>
          <w:b/>
          <w:bCs/>
          <w:sz w:val="21"/>
          <w:szCs w:val="21"/>
        </w:rPr>
        <w:t xml:space="preserve">Documentar el protocolo del ground truth: </w:t>
      </w:r>
      <w:r>
        <w:rPr>
          <w:sz w:val="21"/>
          <w:szCs w:val="21"/>
        </w:rPr>
        <w:t xml:space="preserve">quién etiquetó, si el etiquetado fue ciego a la salida del modelo, si fue anterior a verla, y con qué coeficiente de acuerdo. Idealmente, incorporar al menos un evaluador externo al equipo. Es la corrección que más eleva la credibilidad del capítulo 5 por unidad de esfuerzo.</w:t>
      </w:r>
    </w:p>
    <w:p>
      <w:pPr>
        <w:pStyle w:val="ListParagraph"/>
        <w:numPr>
          <w:ilvl w:val="0"/>
          <w:numId w:val="3"/>
        </w:numPr>
        <w:spacing w:after="100" w:line="276"/>
      </w:pPr>
      <w:r>
        <w:rPr>
          <w:b/>
          <w:bCs/>
          <w:sz w:val="21"/>
          <w:szCs w:val="21"/>
        </w:rPr>
        <w:t xml:space="preserve">Publicar la matriz de confusión, </w:t>
      </w:r>
      <w:r>
        <w:rPr>
          <w:sz w:val="21"/>
          <w:szCs w:val="21"/>
        </w:rPr>
        <w:t xml:space="preserve">corregir la denominación de la métrica por clase y reportar precisión y F1 además de exhaustividad. Y recalcular las tasas de resolución y el conteo de tickets sobre la intención predicha, no sobre la real.</w:t>
      </w:r>
    </w:p>
    <w:p>
      <w:pPr>
        <w:pStyle w:val="ListParagraph"/>
        <w:numPr>
          <w:ilvl w:val="0"/>
          <w:numId w:val="3"/>
        </w:numPr>
        <w:spacing w:after="100" w:line="276"/>
      </w:pPr>
      <w:r>
        <w:rPr>
          <w:b/>
          <w:bCs/>
          <w:sz w:val="21"/>
          <w:szCs w:val="21"/>
        </w:rPr>
        <w:t xml:space="preserve">Unificar media y mediana entre las secciones metodológicas, </w:t>
      </w:r>
      <w:r>
        <w:rPr>
          <w:sz w:val="21"/>
          <w:szCs w:val="21"/>
        </w:rPr>
        <w:t xml:space="preserve">y retirar el supuesto de normalidad o sustentarlo con una prueba.</w:t>
      </w:r>
    </w:p>
    <w:p>
      <w:pPr>
        <w:pStyle w:val="ListParagraph"/>
        <w:numPr>
          <w:ilvl w:val="0"/>
          <w:numId w:val="3"/>
        </w:numPr>
        <w:spacing w:after="100" w:line="276"/>
      </w:pPr>
      <w:r>
        <w:rPr>
          <w:b/>
          <w:bCs/>
          <w:sz w:val="21"/>
          <w:szCs w:val="21"/>
        </w:rPr>
        <w:t xml:space="preserve">Rehacer la prueba de carga contra un producto con stock inferior al número de pedidos concurrentes, </w:t>
      </w:r>
      <w:r>
        <w:rPr>
          <w:sz w:val="21"/>
          <w:szCs w:val="21"/>
        </w:rPr>
        <w:t xml:space="preserve">que es la única forma de que pueda decir algo sobre atomicidad, o retirar esa conclusión.</w:t>
      </w:r>
    </w:p>
    <w:p>
      <w:pPr>
        <w:pStyle w:val="Heading2"/>
        <w:spacing w:after="120" w:before="250"/>
      </w:pPr>
      <w:r>
        <w:rPr>
          <w:b/>
          <w:bCs/>
          <w:color w:val="2E5496"/>
          <w:sz w:val="23"/>
          <w:szCs w:val="23"/>
        </w:rPr>
        <w:t xml:space="preserve">Bloque 4 — Modelado, entorno y forma</w:t>
      </w:r>
    </w:p>
    <w:p>
      <w:pPr>
        <w:pStyle w:val="ListParagraph"/>
        <w:numPr>
          <w:ilvl w:val="0"/>
          <w:numId w:val="3"/>
        </w:numPr>
        <w:spacing w:after="100" w:line="276"/>
      </w:pPr>
      <w:r>
        <w:rPr>
          <w:b/>
          <w:bCs/>
          <w:sz w:val="21"/>
          <w:szCs w:val="21"/>
        </w:rPr>
        <w:t xml:space="preserve">Incorporar una tabla de ítems de orden, </w:t>
      </w:r>
      <w:r>
        <w:rPr>
          <w:sz w:val="21"/>
          <w:szCs w:val="21"/>
        </w:rPr>
        <w:t xml:space="preserve">los índices que el objetivo 3 promete, restricciones de valores para el estado y de integridad para el stock, y migrar las marcas temporales a tipo con zona horaria. Publicar el DDL completo, las cinco vistas y el prompt de sistema íntegro.</w:t>
      </w:r>
    </w:p>
    <w:p>
      <w:pPr>
        <w:pStyle w:val="ListParagraph"/>
        <w:numPr>
          <w:ilvl w:val="0"/>
          <w:numId w:val="3"/>
        </w:numPr>
        <w:spacing w:after="100" w:line="276"/>
      </w:pPr>
      <w:r>
        <w:rPr>
          <w:b/>
          <w:bCs/>
          <w:sz w:val="21"/>
          <w:szCs w:val="21"/>
        </w:rPr>
        <w:t xml:space="preserve">Anclar las imágenes de contenedor a versiones fijas </w:t>
      </w:r>
      <w:r>
        <w:rPr>
          <w:sz w:val="21"/>
          <w:szCs w:val="21"/>
        </w:rPr>
        <w:t xml:space="preserve">o retirar la afirmación de reproducibilidad completa; dejar de publicar el puerto de la base de datos al anfitrión y documentar la autenticación del panel de orquestación.</w:t>
      </w:r>
    </w:p>
    <w:p>
      <w:pPr>
        <w:pStyle w:val="ListParagraph"/>
        <w:numPr>
          <w:ilvl w:val="0"/>
          <w:numId w:val="3"/>
        </w:numPr>
        <w:spacing w:after="100" w:line="276"/>
      </w:pPr>
      <w:r>
        <w:rPr>
          <w:b/>
          <w:bCs/>
          <w:sz w:val="21"/>
          <w:szCs w:val="21"/>
        </w:rPr>
        <w:t xml:space="preserve">Numerar y referenciar todas las figuras y tablas desde el texto, </w:t>
      </w:r>
      <w:r>
        <w:rPr>
          <w:sz w:val="21"/>
          <w:szCs w:val="21"/>
        </w:rPr>
        <w:t xml:space="preserve">eliminar los epígrafes duplicados, rotular el diagrama de arquitectura y el entidad-relación, y retirar o corregir los tres paneles de torta defectuosos.</w:t>
      </w:r>
    </w:p>
    <w:p>
      <w:pPr>
        <w:pStyle w:val="ListParagraph"/>
        <w:numPr>
          <w:ilvl w:val="0"/>
          <w:numId w:val="3"/>
        </w:numPr>
        <w:spacing w:after="100" w:line="276"/>
      </w:pPr>
      <w:r>
        <w:rPr>
          <w:b/>
          <w:bCs/>
          <w:sz w:val="21"/>
          <w:szCs w:val="21"/>
        </w:rPr>
        <w:t xml:space="preserve">Corregir las discrepancias de conteo </w:t>
      </w:r>
      <w:r>
        <w:rPr>
          <w:sz w:val="21"/>
          <w:szCs w:val="21"/>
        </w:rPr>
        <w:t xml:space="preserve">—categorías, preguntas frecuentes, estados de orden y nodos—, la rama de alerta de stock bajo que se reporta aprobada sin existir, y los artefactos de conversión y las entradas defectuosas del índice.</w:t>
      </w:r>
    </w:p>
    <w:p>
      <w:pPr>
        <w:pStyle w:val="ListParagraph"/>
        <w:numPr>
          <w:ilvl w:val="0"/>
          <w:numId w:val="3"/>
        </w:numPr>
        <w:spacing w:after="100" w:line="276"/>
      </w:pPr>
      <w:r>
        <w:rPr>
          <w:b/>
          <w:bCs/>
          <w:sz w:val="21"/>
          <w:szCs w:val="21"/>
        </w:rPr>
        <w:t xml:space="preserve">Normalizar la bibliografía: </w:t>
      </w:r>
      <w:r>
        <w:rPr>
          <w:sz w:val="21"/>
          <w:szCs w:val="21"/>
        </w:rPr>
        <w:t xml:space="preserve">lista única, sangría francesa, cursiva solo en título de obra y nombre y volumen de revista, mayúscula inicial uniforme, elipsis de autores según la norma vigente, fechas de recuperación en las fuentes dinámicas, y corrección de las tres citas sin entrada y de las dos entradas con datos editoriales erróneos.</w:t>
      </w:r>
    </w:p>
    <w:p>
      <w:pPr>
        <w:pStyle w:val="Heading1"/>
        <w:spacing w:after="160" w:before="340"/>
      </w:pPr>
      <w:r>
        <w:rPr>
          <w:b/>
          <w:bCs/>
          <w:color w:val="1F3864"/>
          <w:sz w:val="28"/>
          <w:szCs w:val="28"/>
        </w:rPr>
        <w:t xml:space="preserve">9. Preguntas probables del tribunal</w:t>
      </w:r>
    </w:p>
    <w:p>
      <w:pPr>
        <w:pStyle w:val="ListParagraph"/>
        <w:numPr>
          <w:ilvl w:val="0"/>
          <w:numId w:val="2"/>
        </w:numPr>
        <w:spacing w:after="100" w:line="276"/>
      </w:pPr>
      <w:r>
        <w:rPr>
          <w:b/>
          <w:bCs/>
          <w:sz w:val="21"/>
          <w:szCs w:val="21"/>
        </w:rPr>
        <w:t xml:space="preserve">«El dashboard dice diecinueve confirmadas y siete sin stock, y la tabla dice doce y ocho. ¿Cuál vale?» </w:t>
      </w:r>
      <w:r>
        <w:rPr>
          <w:sz w:val="21"/>
          <w:szCs w:val="21"/>
        </w:rPr>
        <w:t xml:space="preserve">Es la pregunta más previsible, porque la figura está en la misma página que la tabla. Hoy no tiene respuesta.</w:t>
      </w:r>
    </w:p>
    <w:p>
      <w:pPr>
        <w:pStyle w:val="ListParagraph"/>
        <w:numPr>
          <w:ilvl w:val="0"/>
          <w:numId w:val="2"/>
        </w:numPr>
        <w:spacing w:after="100" w:line="276"/>
      </w:pPr>
      <w:r>
        <w:rPr>
          <w:b/>
          <w:bCs/>
          <w:sz w:val="21"/>
          <w:szCs w:val="21"/>
        </w:rPr>
        <w:t xml:space="preserve">«¿Por qué la Figura 3 y la Figura 5 son idénticas?» </w:t>
      </w:r>
      <w:r>
        <w:rPr>
          <w:sz w:val="21"/>
          <w:szCs w:val="21"/>
        </w:rPr>
        <w:t xml:space="preserve">Verificable a simple vista pasando dos páginas.</w:t>
      </w:r>
    </w:p>
    <w:p>
      <w:pPr>
        <w:pStyle w:val="ListParagraph"/>
        <w:numPr>
          <w:ilvl w:val="0"/>
          <w:numId w:val="2"/>
        </w:numPr>
        <w:spacing w:after="100" w:line="276"/>
      </w:pPr>
      <w:r>
        <w:rPr>
          <w:b/>
          <w:bCs/>
          <w:sz w:val="21"/>
          <w:szCs w:val="21"/>
        </w:rPr>
        <w:t xml:space="preserve">«Con ciento siete interacciones, ¿cómo puede haber treinta y seis de una clase y treinta y seis de otra más los aciertos de las otras dos?» </w:t>
      </w:r>
      <w:r>
        <w:rPr>
          <w:sz w:val="21"/>
          <w:szCs w:val="21"/>
        </w:rPr>
        <w:t xml:space="preserve">La suma supera el total. Sin respuesta disponible.</w:t>
      </w:r>
    </w:p>
    <w:p>
      <w:pPr>
        <w:pStyle w:val="ListParagraph"/>
        <w:numPr>
          <w:ilvl w:val="0"/>
          <w:numId w:val="2"/>
        </w:numPr>
        <w:spacing w:after="100" w:line="276"/>
      </w:pPr>
      <w:r>
        <w:rPr>
          <w:b/>
          <w:bCs/>
          <w:sz w:val="21"/>
          <w:szCs w:val="21"/>
        </w:rPr>
        <w:t xml:space="preserve">«¿Cómo puede el tiempo de respuesta ser exactamente 2,38 segundos en los cuatro grupos?» </w:t>
      </w:r>
      <w:r>
        <w:rPr>
          <w:sz w:val="21"/>
          <w:szCs w:val="21"/>
        </w:rPr>
        <w:t xml:space="preserve">Conviene tener la consulta de agrupación y su salida a mano antes de la defensa.</w:t>
      </w:r>
    </w:p>
    <w:p>
      <w:pPr>
        <w:pStyle w:val="ListParagraph"/>
        <w:numPr>
          <w:ilvl w:val="0"/>
          <w:numId w:val="2"/>
        </w:numPr>
        <w:spacing w:after="100" w:line="276"/>
      </w:pPr>
      <w:r>
        <w:rPr>
          <w:b/>
          <w:bCs/>
          <w:sz w:val="21"/>
          <w:szCs w:val="21"/>
        </w:rPr>
        <w:t xml:space="preserve">«¿De dónde salen los cinco a treinta minutos del proceso manual?» </w:t>
      </w:r>
      <w:r>
        <w:rPr>
          <w:sz w:val="21"/>
          <w:szCs w:val="21"/>
        </w:rPr>
        <w:t xml:space="preserve">Es el denominador de todo el impacto reportado y hoy no tiene fuente.</w:t>
      </w:r>
    </w:p>
    <w:p>
      <w:pPr>
        <w:pStyle w:val="ListParagraph"/>
        <w:numPr>
          <w:ilvl w:val="0"/>
          <w:numId w:val="2"/>
        </w:numPr>
        <w:spacing w:after="100" w:line="276"/>
      </w:pPr>
      <w:r>
        <w:rPr>
          <w:b/>
          <w:bCs/>
          <w:sz w:val="21"/>
          <w:szCs w:val="21"/>
        </w:rPr>
        <w:t xml:space="preserve">«Muéstrenme el canal de Telegram funcionando.» </w:t>
      </w:r>
      <w:r>
        <w:rPr>
          <w:sz w:val="21"/>
          <w:szCs w:val="21"/>
        </w:rPr>
        <w:t xml:space="preserve">No existe en el flujo ejecutado. Es preferible declararlo en el documento que descubrirlo en la sala.</w:t>
      </w:r>
    </w:p>
    <w:p>
      <w:pPr>
        <w:pStyle w:val="ListParagraph"/>
        <w:numPr>
          <w:ilvl w:val="0"/>
          <w:numId w:val="2"/>
        </w:numPr>
        <w:spacing w:after="100" w:line="276"/>
      </w:pPr>
      <w:r>
        <w:rPr>
          <w:b/>
          <w:bCs/>
          <w:sz w:val="21"/>
          <w:szCs w:val="21"/>
        </w:rPr>
        <w:t xml:space="preserve">«Con ciento siete casos y noventa y siete aciertos, ¿el intervalo de confianza excluye el ochenta y cinco por ciento?» </w:t>
      </w:r>
      <w:r>
        <w:rPr>
          <w:sz w:val="21"/>
          <w:szCs w:val="21"/>
        </w:rPr>
        <w:t xml:space="preserve">No lo excluye. La respuesta honesta está a mano y mejora el trabajo: el valor puntual supera el umbral, el intervalo lo incluye, y hace falta más muestra.</w:t>
      </w:r>
    </w:p>
    <w:p>
      <w:pPr>
        <w:pStyle w:val="ListParagraph"/>
        <w:numPr>
          <w:ilvl w:val="0"/>
          <w:numId w:val="2"/>
        </w:numPr>
        <w:spacing w:after="100" w:line="276"/>
      </w:pPr>
      <w:r>
        <w:rPr>
          <w:b/>
          <w:bCs/>
          <w:sz w:val="21"/>
          <w:szCs w:val="21"/>
        </w:rPr>
        <w:t xml:space="preserve">«¿Ciento noventa veces respecto de cinco minutos?» </w:t>
      </w:r>
      <w:r>
        <w:rPr>
          <w:sz w:val="21"/>
          <w:szCs w:val="21"/>
        </w:rPr>
        <w:t xml:space="preserve">Son treinta y uno. La cuenta se hace mentalmente y es el titular del capítulo de resultados.</w:t>
      </w:r>
    </w:p>
    <w:p>
      <w:pPr>
        <w:pStyle w:val="ListParagraph"/>
        <w:numPr>
          <w:ilvl w:val="0"/>
          <w:numId w:val="2"/>
        </w:numPr>
        <w:spacing w:after="100" w:line="276"/>
      </w:pPr>
      <w:r>
        <w:rPr>
          <w:b/>
          <w:bCs/>
          <w:sz w:val="21"/>
          <w:szCs w:val="21"/>
        </w:rPr>
        <w:t xml:space="preserve">«¿Quién definió cuál era la intención correcta de cada mensaje?» </w:t>
      </w:r>
      <w:r>
        <w:rPr>
          <w:sz w:val="21"/>
          <w:szCs w:val="21"/>
        </w:rPr>
        <w:t xml:space="preserve">Los mismos que escribieron el prompt y los mensajes. Conviene anticipar la respuesta con el protocolo documentado.</w:t>
      </w:r>
    </w:p>
    <w:p>
      <w:pPr>
        <w:pStyle w:val="Heading1"/>
        <w:spacing w:after="160" w:before="340"/>
      </w:pPr>
      <w:r>
        <w:rPr>
          <w:b/>
          <w:bCs/>
          <w:color w:val="1F3864"/>
          <w:sz w:val="28"/>
          <w:szCs w:val="28"/>
        </w:rPr>
        <w:t xml:space="preserve">10. Dictamen</w:t>
      </w:r>
    </w:p>
    <w:p>
      <w:pPr>
        <w:spacing w:after="140" w:line="276"/>
      </w:pPr>
      <w:r>
        <w:rPr>
          <w:b/>
          <w:bCs/>
          <w:sz w:val="24"/>
          <w:szCs w:val="24"/>
        </w:rPr>
        <w:t xml:space="preserve">Puntaje global: 4,2 / 10</w:t>
      </w:r>
    </w:p>
    <w:p>
      <w:pPr>
        <w:spacing w:after="140" w:line="276"/>
      </w:pPr>
      <w:r>
        <w:rPr>
          <w:b/>
          <w:bCs/>
          <w:sz w:val="21"/>
          <w:szCs w:val="21"/>
        </w:rPr>
        <w:t xml:space="preserve">Dictamen: requiere una revisión profunda antes de la defensa.</w:t>
      </w:r>
    </w:p>
    <w:p>
      <w:pPr>
        <w:pStyle w:val="Heading2"/>
        <w:spacing w:after="120" w:before="250"/>
      </w:pPr>
      <w:r>
        <w:rPr>
          <w:b/>
          <w:bCs/>
          <w:color w:val="2E5496"/>
          <w:sz w:val="23"/>
          <w:szCs w:val="23"/>
        </w:rPr>
        <w:t xml:space="preserve">Fundamentación</w:t>
      </w:r>
    </w:p>
    <w:p>
      <w:pPr>
        <w:spacing w:after="140" w:line="276"/>
      </w:pPr>
      <w:r>
        <w:rPr>
          <w:sz w:val="21"/>
          <w:szCs w:val="21"/>
        </w:rPr>
        <w:t xml:space="preserve">No corresponde el dictamen de no recomendable. El sistema fue construido y funciona, la arquitectura es razonable, la redacción es clara, el capítulo metodológico tiene la estructura correcta y hay tres pasajes —la discusión sobre transferibilidad de las métricas, el reconocimiento de la subcategoría que no alcanza el umbral y la sección de limitaciones— que muestran criterio y honestidad intelectual por encima de la media de la categoría. La sección de recomendaciones es directamente buena.</w:t>
      </w:r>
    </w:p>
    <w:p>
      <w:pPr>
        <w:spacing w:after="140" w:line="276"/>
      </w:pPr>
      <w:r>
        <w:rPr>
          <w:sz w:val="21"/>
          <w:szCs w:val="21"/>
        </w:rPr>
        <w:t xml:space="preserve">Tampoco corresponde aprobada con observaciones. El motivo no es la cantidad de hallazgos sino su ubicación: están todos en la capa de evidencia. Las capturas que el trabajo publica para demostrar sus resultados contradicen las tablas que reportan esos mismos resultados, y en un caso la contradicción es aritméticamente imposible de reconciliar. Una imagen aparece dos veces, primero como configuración y después como resultado experimental. El chatbot que da nombre a la mitad del trabajo tiene un solo canal simulado. Y el número que encabeza el capítulo de resultados está errado en un factor de seis. Un tribunal que abra el documento en la página treinta y seis y compare con la página treinta y cinco llega a la primera de estas observaciones sin buscarla.</w:t>
      </w:r>
    </w:p>
    <w:p>
      <w:pPr>
        <w:spacing w:after="140" w:line="276"/>
      </w:pPr>
      <w:r>
        <w:rPr>
          <w:sz w:val="21"/>
          <w:szCs w:val="21"/>
        </w:rPr>
        <w:t xml:space="preserve">Sobre la referencia cuya autoría no corresponde conviene una precisión, porque es el hallazgo más delicado. No es un error de tipeo en un apellido: la entrada, tal como está redactada, no identifica a ninguna publicación existente, y es la única fuente que sostiene el umbral del 85 % que sirve de criterio de aceptación de una de las tres hipótesis. Corregirla es trivial; lo que no es trivial es que, corregida, la fuente real no dice lo que se le atribuye. El umbral hay que volver a fundarlo, o declararlo como decisión del equipo. Esta segunda opción es perfectamente aceptable en un trabajo de este nivel y es preferible a sostenerlo sobre una cita que no lo sostiene.</w:t>
      </w:r>
    </w:p>
    <w:p>
      <w:pPr>
        <w:spacing w:after="140" w:line="276"/>
      </w:pPr>
      <w:r>
        <w:rPr>
          <w:sz w:val="21"/>
          <w:szCs w:val="21"/>
        </w:rPr>
        <w:t xml:space="preserve">Un apunte sobre el estado del documento. Se trata de la quinta versión, y eso cambia el diagnóstico. Los problemas que restan no son de borrador: son de conciliación entre tres cosas que se fueron desarrollando en paralelo sin cerrarse entre sí —el sistema que se construyó, las mediciones que se tomaron y el texto que se escribió—. Es un patrón frecuente y tiene solución conocida: fijar primero los datos, después las figuras que los muestran, y recién al final la redacción que los interpreta.</w:t>
      </w:r>
    </w:p>
    <w:p>
      <w:pPr>
        <w:pStyle w:val="Heading2"/>
        <w:spacing w:after="120" w:before="250"/>
      </w:pPr>
      <w:r>
        <w:rPr>
          <w:b/>
          <w:bCs/>
          <w:color w:val="2E5496"/>
          <w:sz w:val="23"/>
          <w:szCs w:val="23"/>
        </w:rPr>
        <w:t xml:space="preserve">Estimación de recuperabilidad</w:t>
      </w:r>
    </w:p>
    <w:p>
      <w:pPr>
        <w:spacing w:after="140" w:line="276"/>
      </w:pPr>
      <w:r>
        <w:rPr>
          <w:sz w:val="21"/>
          <w:szCs w:val="21"/>
        </w:rPr>
        <w:t xml:space="preserve">Pronóstico favorable y condicionado a una verificación previa. Todo el Bloque 1 depende de que existan las consultas y los datos que produjeron las tablas y los dashboards. Si existen —y el hecho de que los dashboards se hayan renderizado indica que las vistas están construidas y pobladas—, la reconciliación es cuestión de volver a correr las consultas, capturar de nuevo y corregir el texto. Con eso hecho, y ejecutado el Bloque 2, el trabajo se ubica razonablemente entre 6,5 y 7,0.</w:t>
      </w:r>
    </w:p>
    <w:p>
      <w:pPr>
        <w:spacing w:after="140" w:line="276"/>
      </w:pPr>
      <w:r>
        <w:rPr>
          <w:sz w:val="21"/>
          <w:szCs w:val="21"/>
        </w:rPr>
        <w:t xml:space="preserve">Ejecutados además los Bloques 3 y 4, este tribunal estima el trabajo entre 7,5 y 8,0. La corrección de mayor rendimiento por unidad de esfuerzo es el protocolo del ground truth con un evaluador externo: es media jornada de trabajo y transforma el capítulo 5 de un ejercicio autoevaluado en una medición defendible.</w:t>
      </w:r>
    </w:p>
    <w:p>
      <w:pPr>
        <w:pStyle w:val="Heading2"/>
        <w:spacing w:after="120" w:before="250"/>
      </w:pPr>
      <w:r>
        <w:rPr>
          <w:b/>
          <w:bCs/>
          <w:color w:val="2E5496"/>
          <w:sz w:val="23"/>
          <w:szCs w:val="23"/>
        </w:rPr>
        <w:t xml:space="preserve">Cierre</w:t>
      </w:r>
    </w:p>
    <w:p>
      <w:pPr>
        <w:spacing w:after="140" w:line="276"/>
      </w:pPr>
      <w:r>
        <w:rPr>
          <w:sz w:val="21"/>
          <w:szCs w:val="21"/>
        </w:rPr>
        <w:t xml:space="preserve">Hay un buen trabajo dentro de este documento, y en varios pasajes se lo ve con claridad. El equipo entendió que trasladar métricas de incidentes al comercio electrónico requiere justificación, y la escribió. Entendió que una subcategoría por debajo del umbral hay que declararla, y la declaró. Entendió qué le falta al sistema para producción, y lo enumeró con precisión. Ese criterio es el que hoy no llegó al capítulo de resultados, que es donde más se necesita. Lo que corresponde ahora no es escribir mejor: es volver a las consultas, mirar qué dicen los datos, y hacer que las figuras, las tablas y las conclusiones digan exactamente eso. El sistema ya hizo su parte.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5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Académica — Automatización del ciclo post-venta</dc:title>
  <dc:creator>Tribunal evaluador simulado — UTN FRM</dc:creator>
  <dc:description>Revisión integral previa a la defensa</dc:description>
  <cp:lastModifiedBy>Un-named</cp:lastModifiedBy>
  <cp:revision>1</cp:revision>
  <dcterms:created xsi:type="dcterms:W3CDTF">2026-08-04T19:32:09.382Z</dcterms:created>
  <dcterms:modified xsi:type="dcterms:W3CDTF">2026-08-04T19:32:09.385Z</dcterms:modified>
</cp:coreProperties>
</file>

<file path=docProps/custom.xml><?xml version="1.0" encoding="utf-8"?>
<Properties xmlns="http://schemas.openxmlformats.org/officeDocument/2006/custom-properties" xmlns:vt="http://schemas.openxmlformats.org/officeDocument/2006/docPropsVTypes"/>
</file>