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PLIEGO DE BASES Y CONDICIONES</w:t>
      </w:r>
    </w:p>
    <w:p>
      <w:pPr>
        <w:jc w:val="center"/>
      </w:pPr>
      <w:r>
        <w:rPr>
          <w:b/>
          <w:sz w:val="24"/>
        </w:rPr>
        <w:t>Adquisición de Equipos Multifunción HP — Modalidad Sobre Cerrado</w:t>
      </w:r>
    </w:p>
    <w:tbl>
      <w:tblPr>
        <w:tblW w:type="auto" w:w="0"/>
        <w:tblLayout w:type="fixed"/>
        <w:tblLook w:firstColumn="1" w:firstRow="1" w:lastColumn="0" w:lastRow="0" w:noHBand="0" w:noVBand="1" w:val="04A0"/>
      </w:tblPr>
      <w:tblGrid>
        <w:gridCol w:w="4873"/>
        <w:gridCol w:w="4873"/>
      </w:tblGrid>
      <w:tr>
        <w:tc>
          <w:tcPr>
            <w:tcW w:type="dxa" w:w="2551"/>
            <w:shd w:val="clear" w:color="auto" w:fill="F2F2F2"/>
          </w:tcPr>
          <w:p>
            <w:r>
              <w:rPr>
                <w:b/>
              </w:rPr>
              <w:t>Solicitante:</w:t>
            </w:r>
          </w:p>
        </w:tc>
        <w:tc>
          <w:tcPr>
            <w:tcW w:type="dxa" w:w="6803"/>
          </w:tcPr>
          <w:p>
            <w:r>
              <w:t>Trafigura Argentina S.A.</w:t>
            </w:r>
          </w:p>
        </w:tc>
      </w:tr>
      <w:tr>
        <w:tc>
          <w:tcPr>
            <w:tcW w:type="dxa" w:w="2551"/>
            <w:shd w:val="clear" w:color="auto" w:fill="F2F2F2"/>
          </w:tcPr>
          <w:p>
            <w:r>
              <w:rPr>
                <w:b/>
              </w:rPr>
              <w:t>Domicilio:</w:t>
            </w:r>
          </w:p>
        </w:tc>
        <w:tc>
          <w:tcPr>
            <w:tcW w:type="dxa" w:w="6803"/>
          </w:tcPr>
          <w:p>
            <w:r>
              <w:t>Marcelino E. Freyre 3650, Palermo, CABA, Argentina</w:t>
            </w:r>
          </w:p>
        </w:tc>
      </w:tr>
      <w:tr>
        <w:tc>
          <w:tcPr>
            <w:tcW w:type="dxa" w:w="2551"/>
            <w:shd w:val="clear" w:color="auto" w:fill="F2F2F2"/>
          </w:tcPr>
          <w:p>
            <w:r>
              <w:rPr>
                <w:b/>
              </w:rPr>
              <w:t>Modalidad:</w:t>
            </w:r>
          </w:p>
        </w:tc>
        <w:tc>
          <w:tcPr>
            <w:tcW w:type="dxa" w:w="6803"/>
          </w:tcPr>
          <w:p>
            <w:r>
              <w:t>Licitación privada — sobre cerrado</w:t>
            </w:r>
          </w:p>
        </w:tc>
      </w:tr>
      <w:tr>
        <w:tc>
          <w:tcPr>
            <w:tcW w:type="dxa" w:w="2551"/>
            <w:shd w:val="clear" w:color="auto" w:fill="F2F2F2"/>
          </w:tcPr>
          <w:p>
            <w:r>
              <w:rPr>
                <w:b/>
              </w:rPr>
              <w:t>Fecha de emisión:</w:t>
            </w:r>
          </w:p>
        </w:tc>
        <w:tc>
          <w:tcPr>
            <w:tcW w:type="dxa" w:w="6803"/>
          </w:tcPr>
          <w:p>
            <w:r>
              <w:t>09/06/2026</w:t>
            </w:r>
          </w:p>
        </w:tc>
      </w:tr>
    </w:tbl>
    <w:p/>
    <w:p>
      <w:r>
        <w:rPr>
          <w:b/>
          <w:color w:val="1F3A5F"/>
          <w:sz w:val="26"/>
        </w:rPr>
        <w:t>0. ALCANCE DE LA CONTRATACIÓN — LECTURA OBLIGATORIA</w:t>
      </w:r>
    </w:p>
    <w:p>
      <w:pPr>
        <w:jc w:val="both"/>
      </w:pPr>
      <w:r>
        <w:rPr>
          <w:b w:val="0"/>
        </w:rPr>
        <w:t xml:space="preserve">Trafigura Argentina S.A. (en adelante, “Trafigura” o “el Solicitante”) NO tiene intención de contratar, y por lo tanto NO se aceptarán ofertas que incluyan, ni en todo ni en parte, las siguientes modalidades: </w:t>
      </w:r>
      <w:r>
        <w:rPr>
          <w:b/>
        </w:rPr>
        <w:t>(i) Servicios Administrados de Impresión / Managed Print Services (MPS); (ii) Leasing financiero u operativo de equipos; (iii) Esquemas de pago por página, suscripción, alquiler o cualquier figura asimilable.</w:t>
      </w:r>
    </w:p>
    <w:p>
      <w:pPr>
        <w:spacing w:after="80"/>
        <w:jc w:val="both"/>
      </w:pPr>
      <w:r>
        <w:rPr>
          <w:b w:val="0"/>
          <w:i w:val="0"/>
          <w:sz w:val="22"/>
        </w:rPr>
        <w:t>El presente pliego solicita exclusivamente la COMPRA FINAL A PAGO ÚNICO de los equipos detallados en el punto 2, en condición de NUEVOS, sin uso, en embalaje original de fábrica, con su tóner original (uno por equipo, no se solicitan consumibles adicionales) y los cables de alimentación correspondientes.</w:t>
      </w:r>
    </w:p>
    <w:p>
      <w:pPr>
        <w:jc w:val="both"/>
      </w:pPr>
      <w:r>
        <w:rPr>
          <w:i/>
        </w:rPr>
        <w:t>Las ofertas que incluyan servicios o modalidades distintas a las indicadas serán desestimadas sin más trámite.</w:t>
      </w:r>
    </w:p>
    <w:p>
      <w:r>
        <w:rPr>
          <w:b/>
          <w:color w:val="1F3A5F"/>
          <w:sz w:val="26"/>
        </w:rPr>
        <w:t>1. OBJETO DE LA CONTRATACIÓN</w:t>
      </w:r>
    </w:p>
    <w:p>
      <w:pPr>
        <w:spacing w:after="80"/>
        <w:jc w:val="both"/>
      </w:pPr>
      <w:r>
        <w:rPr>
          <w:b w:val="0"/>
          <w:i w:val="0"/>
          <w:sz w:val="22"/>
        </w:rPr>
        <w:t>Trafigura Argentina S.A. invita a presentar oferta económica para la provisión, entrega e instalación física en el domicilio indicado, de DOS (2) equipos multifunción HP nuevos, cuyo detalle técnico se describe en el punto 2 del presente pliego. La operación contempla, asimismo, la entrega en parte de pago (Trade-In) de UNA (1) unidad usada de propiedad de Trafigura, conforme se describe en el punto 3.</w:t>
      </w:r>
    </w:p>
    <w:p>
      <w:r>
        <w:rPr>
          <w:b/>
          <w:color w:val="1F3A5F"/>
          <w:sz w:val="26"/>
        </w:rPr>
        <w:t>2. EQUIPOS A ADQUIRIR (NUEVOS)</w:t>
      </w:r>
    </w:p>
    <w:p>
      <w:pPr>
        <w:spacing w:after="120"/>
        <w:jc w:val="both"/>
      </w:pPr>
      <w:r>
        <w:rPr>
          <w:b w:val="0"/>
          <w:i w:val="0"/>
          <w:sz w:val="22"/>
        </w:rPr>
        <w:t>Se requiere cotización por los siguientes equipos, en condición de nuevos, sin uso, embalaje original cerrado de fábrica, con garantía oficial del fabricante vigente al momento de la entrega:</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vAlign w:val="center"/>
            <w:shd w:val="clear" w:color="auto" w:fill="1F3A5F"/>
          </w:tcPr>
          <w:p>
            <w:r>
              <w:rPr>
                <w:b/>
                <w:color w:val="FFFFFF"/>
              </w:rPr>
              <w:t>Ítem</w:t>
            </w:r>
          </w:p>
        </w:tc>
        <w:tc>
          <w:tcPr>
            <w:tcW w:type="dxa" w:w="2436"/>
            <w:vAlign w:val="center"/>
            <w:shd w:val="clear" w:color="auto" w:fill="1F3A5F"/>
          </w:tcPr>
          <w:p>
            <w:r>
              <w:rPr>
                <w:b/>
                <w:color w:val="FFFFFF"/>
              </w:rPr>
              <w:t>Marca / Modelo</w:t>
            </w:r>
          </w:p>
        </w:tc>
        <w:tc>
          <w:tcPr>
            <w:tcW w:type="dxa" w:w="2436"/>
            <w:vAlign w:val="center"/>
            <w:shd w:val="clear" w:color="auto" w:fill="1F3A5F"/>
          </w:tcPr>
          <w:p>
            <w:r>
              <w:rPr>
                <w:b/>
                <w:color w:val="FFFFFF"/>
              </w:rPr>
              <w:t>Cantidad</w:t>
            </w:r>
          </w:p>
        </w:tc>
        <w:tc>
          <w:tcPr>
            <w:tcW w:type="dxa" w:w="2436"/>
            <w:vAlign w:val="center"/>
            <w:shd w:val="clear" w:color="auto" w:fill="1F3A5F"/>
          </w:tcPr>
          <w:p>
            <w:r>
              <w:rPr>
                <w:b/>
                <w:color w:val="FFFFFF"/>
              </w:rPr>
              <w:t>Característica clave</w:t>
            </w:r>
          </w:p>
        </w:tc>
      </w:tr>
      <w:tr>
        <w:tc>
          <w:tcPr>
            <w:tcW w:type="dxa" w:w="2436"/>
          </w:tcPr>
          <w:p>
            <w:r>
              <w:t>1</w:t>
            </w:r>
          </w:p>
        </w:tc>
        <w:tc>
          <w:tcPr>
            <w:tcW w:type="dxa" w:w="2436"/>
          </w:tcPr>
          <w:p>
            <w:r>
              <w:t>HP Color LaserJet Managed E877z</w:t>
            </w:r>
          </w:p>
        </w:tc>
        <w:tc>
          <w:tcPr>
            <w:tcW w:type="dxa" w:w="2436"/>
          </w:tcPr>
          <w:p>
            <w:r>
              <w:t>1 (una)</w:t>
            </w:r>
          </w:p>
        </w:tc>
        <w:tc>
          <w:tcPr>
            <w:tcW w:type="dxa" w:w="2436"/>
          </w:tcPr>
          <w:p>
            <w:r>
              <w:t>MFP A3 — láser color y B&amp;N, con escáner, conectividad de red</w:t>
            </w:r>
          </w:p>
        </w:tc>
      </w:tr>
      <w:tr>
        <w:tc>
          <w:tcPr>
            <w:tcW w:type="dxa" w:w="2436"/>
          </w:tcPr>
          <w:p>
            <w:r>
              <w:t>2</w:t>
            </w:r>
          </w:p>
        </w:tc>
        <w:tc>
          <w:tcPr>
            <w:tcW w:type="dxa" w:w="2436"/>
          </w:tcPr>
          <w:p>
            <w:r>
              <w:t>HP Color LaserJet Managed MFP E47528f</w:t>
            </w:r>
          </w:p>
        </w:tc>
        <w:tc>
          <w:tcPr>
            <w:tcW w:type="dxa" w:w="2436"/>
          </w:tcPr>
          <w:p>
            <w:r>
              <w:t>1 (una)</w:t>
            </w:r>
          </w:p>
        </w:tc>
        <w:tc>
          <w:tcPr>
            <w:tcW w:type="dxa" w:w="2436"/>
          </w:tcPr>
          <w:p>
            <w:r>
              <w:t>MFP A4 — láser color y B&amp;N, con escáner, conectividad de red</w:t>
            </w:r>
          </w:p>
        </w:tc>
      </w:tr>
    </w:tbl>
    <w:p/>
    <w:p>
      <w:r>
        <w:rPr>
          <w:b/>
          <w:color w:val="1F3A5F"/>
          <w:sz w:val="23"/>
        </w:rPr>
        <w:t>2.1. Especificaciones funcionales mínimas (no negociables)</w:t>
      </w:r>
    </w:p>
    <w:p>
      <w:pPr>
        <w:pStyle w:val="ListBullet"/>
        <w:spacing w:after="40"/>
      </w:pPr>
      <w:r>
        <w:rPr>
          <w:b/>
        </w:rPr>
        <w:t xml:space="preserve">• Impresión: </w:t>
      </w:r>
      <w:r>
        <w:t>Tecnología de impresión láser, color y blanco y negro.</w:t>
      </w:r>
    </w:p>
    <w:p>
      <w:pPr>
        <w:pStyle w:val="ListBullet"/>
        <w:spacing w:after="40"/>
      </w:pPr>
      <w:r>
        <w:rPr>
          <w:b/>
        </w:rPr>
        <w:t xml:space="preserve">• Escáner / MFP: </w:t>
      </w:r>
      <w:r>
        <w:t>Funcionalidad de copia, escaneo y envío digital (e-mail / red).</w:t>
      </w:r>
    </w:p>
    <w:p>
      <w:pPr>
        <w:pStyle w:val="ListBullet"/>
        <w:spacing w:after="40"/>
      </w:pPr>
      <w:r>
        <w:rPr>
          <w:b/>
        </w:rPr>
        <w:t xml:space="preserve">• Conectividad y administración: </w:t>
      </w:r>
      <w:r>
        <w:t>Interfaz Ethernet RJ-45 y soporte para administración remota mediante el software propietario del fabricante (HP Web Jetadmin / HP Smart Device Services o equivalente vigente), incluyendo monitoreo de estado del equipo vía red.</w:t>
      </w:r>
    </w:p>
    <w:p>
      <w:pPr>
        <w:pStyle w:val="ListBullet"/>
        <w:spacing w:after="40"/>
      </w:pPr>
      <w:r>
        <w:rPr>
          <w:b/>
        </w:rPr>
        <w:t xml:space="preserve">• Modelos puntuales: </w:t>
      </w:r>
      <w:r>
        <w:t>Los equipos solicitados NO son sustituibles por otros modelos. La selección obedece a los requerimientos específicos de capacidades, dimensiones y porte para los puestos en los que serán instalados. NO SE ACEPTAN MODELOS ALTERNATIVOS NI EQUIVALENTES.</w:t>
      </w:r>
    </w:p>
    <w:p>
      <w:r>
        <w:rPr>
          <w:b/>
          <w:color w:val="1F3A5F"/>
          <w:sz w:val="23"/>
        </w:rPr>
        <w:t>2.2. Componentes incluidos en cada equipo</w:t>
      </w:r>
    </w:p>
    <w:p>
      <w:pPr>
        <w:pStyle w:val="ListBullet"/>
        <w:spacing w:after="40"/>
      </w:pPr>
      <w:r>
        <w:t>Una (1) unidad del equipo en condición de nueva, embalaje original de fábrica.</w:t>
      </w:r>
    </w:p>
    <w:p>
      <w:pPr>
        <w:pStyle w:val="ListBullet"/>
        <w:spacing w:after="40"/>
      </w:pPr>
      <w:r>
        <w:t>Un (1) juego de tóner original HP de fábrica (un (1) tóner por equipo, sin consumibles adicionales).</w:t>
      </w:r>
    </w:p>
    <w:p>
      <w:pPr>
        <w:pStyle w:val="ListBullet"/>
        <w:spacing w:after="40"/>
      </w:pPr>
      <w:r>
        <w:t>Cable(s) de alimentación correspondientes al estándar argentino.</w:t>
      </w:r>
    </w:p>
    <w:p>
      <w:pPr>
        <w:pStyle w:val="ListBullet"/>
        <w:spacing w:after="40"/>
      </w:pPr>
      <w:r>
        <w:t>Documentación oficial del fabricante (manuales / drivers / garantía).</w:t>
      </w:r>
    </w:p>
    <w:p>
      <w:r>
        <w:rPr>
          <w:b/>
          <w:color w:val="1F3A5F"/>
          <w:sz w:val="26"/>
        </w:rPr>
        <w:t>3. ENTREGA EN PARTE DE PAGO — TRADE-IN</w:t>
      </w:r>
    </w:p>
    <w:p>
      <w:pPr>
        <w:spacing w:after="120"/>
        <w:jc w:val="both"/>
      </w:pPr>
      <w:r>
        <w:rPr>
          <w:b w:val="0"/>
          <w:i w:val="0"/>
          <w:sz w:val="22"/>
        </w:rPr>
        <w:t>Como parte de la operación, Trafigura entregará en concepto de Trade-In una (1) unidad de su propiedad, conforme al siguiente detalle:</w:t>
      </w:r>
    </w:p>
    <w:tbl>
      <w:tblPr>
        <w:tblW w:type="auto" w:w="0"/>
        <w:tblLayout w:type="fixed"/>
        <w:tblLook w:firstColumn="1" w:firstRow="1" w:lastColumn="0" w:lastRow="0" w:noHBand="0" w:noVBand="1" w:val="04A0"/>
      </w:tblPr>
      <w:tblGrid>
        <w:gridCol w:w="2835"/>
        <w:gridCol w:w="6520"/>
      </w:tblGrid>
      <w:tr>
        <w:tc>
          <w:tcPr>
            <w:tcW w:type="dxa" w:w="4873"/>
            <w:shd w:val="clear" w:color="auto" w:fill="F2F2F2"/>
          </w:tcPr>
          <w:p>
            <w:r>
              <w:rPr>
                <w:b/>
              </w:rPr>
              <w:t>Marca / Modelo:</w:t>
            </w:r>
          </w:p>
        </w:tc>
        <w:tc>
          <w:tcPr>
            <w:tcW w:type="dxa" w:w="4873"/>
          </w:tcPr>
          <w:p>
            <w:r>
              <w:t>HP Color LaserJet MFP M880</w:t>
            </w:r>
          </w:p>
        </w:tc>
      </w:tr>
      <w:tr>
        <w:tc>
          <w:tcPr>
            <w:tcW w:type="dxa" w:w="4873"/>
            <w:shd w:val="clear" w:color="auto" w:fill="F2F2F2"/>
          </w:tcPr>
          <w:p>
            <w:r>
              <w:rPr>
                <w:b/>
              </w:rPr>
              <w:t>Cantidad:</w:t>
            </w:r>
          </w:p>
        </w:tc>
        <w:tc>
          <w:tcPr>
            <w:tcW w:type="dxa" w:w="4873"/>
          </w:tcPr>
          <w:p>
            <w:r>
              <w:t>1 (una) unidad</w:t>
            </w:r>
          </w:p>
        </w:tc>
      </w:tr>
      <w:tr>
        <w:tc>
          <w:tcPr>
            <w:tcW w:type="dxa" w:w="4873"/>
            <w:shd w:val="clear" w:color="auto" w:fill="F2F2F2"/>
          </w:tcPr>
          <w:p>
            <w:r>
              <w:rPr>
                <w:b/>
              </w:rPr>
              <w:t>Estado del equipo:</w:t>
            </w:r>
          </w:p>
        </w:tc>
        <w:tc>
          <w:tcPr>
            <w:tcW w:type="dxa" w:w="4873"/>
          </w:tcPr>
          <w:p>
            <w:r>
              <w:t>Muy buen estado de funcionamiento, en uso productivo en oficinas de Trafigura</w:t>
            </w:r>
          </w:p>
        </w:tc>
      </w:tr>
      <w:tr>
        <w:tc>
          <w:tcPr>
            <w:tcW w:type="dxa" w:w="4873"/>
            <w:shd w:val="clear" w:color="auto" w:fill="F2F2F2"/>
          </w:tcPr>
          <w:p>
            <w:r>
              <w:rPr>
                <w:b/>
              </w:rPr>
              <w:t>Ubicación:</w:t>
            </w:r>
          </w:p>
        </w:tc>
        <w:tc>
          <w:tcPr>
            <w:tcW w:type="dxa" w:w="4873"/>
          </w:tcPr>
          <w:p>
            <w:r>
              <w:t>Marcelino E. Freyre 3650, Palermo, CABA</w:t>
            </w:r>
          </w:p>
        </w:tc>
      </w:tr>
    </w:tbl>
    <w:p/>
    <w:p>
      <w:pPr>
        <w:spacing w:after="80"/>
        <w:jc w:val="both"/>
      </w:pPr>
      <w:r>
        <w:rPr>
          <w:b w:val="0"/>
          <w:i w:val="0"/>
          <w:sz w:val="22"/>
        </w:rPr>
        <w:t>Aquellos oferentes que requieran apersonarse en las oficinas de Trafigura para realizar el relevamiento físico del equipo M880 a fin de elaborar su cotización de Trade-In, serán bienvenidos. La visita se coordinará previamente por correo electrónico y deberá realizarse dentro del plazo de cotización establecido en el punto 5 del presente pliego.</w:t>
      </w:r>
    </w:p>
    <w:p>
      <w:pPr>
        <w:spacing w:after="80"/>
        <w:jc w:val="both"/>
      </w:pPr>
      <w:r>
        <w:rPr>
          <w:b w:val="0"/>
          <w:i w:val="0"/>
          <w:sz w:val="22"/>
        </w:rPr>
        <w:t>El monto cotizado por el equipo en Trade-In será descontado del precio total de los equipos nuevos al momento de la facturación. La transferencia de la propiedad del M880 se realizará contra entrega e instalación efectiva de los dos equipos nuevos.</w:t>
      </w:r>
    </w:p>
    <w:p>
      <w:r>
        <w:rPr>
          <w:b/>
          <w:color w:val="1F3A5F"/>
          <w:sz w:val="26"/>
        </w:rPr>
        <w:t>4. CRITERIOS DE EVALUACIÓN DE OFERTAS</w:t>
      </w:r>
    </w:p>
    <w:p>
      <w:pPr>
        <w:spacing w:after="120"/>
        <w:jc w:val="both"/>
      </w:pPr>
      <w:r>
        <w:rPr>
          <w:b w:val="0"/>
          <w:i w:val="0"/>
          <w:sz w:val="22"/>
        </w:rPr>
        <w:t>Trafigura evaluará las ofertas presentadas considerando los siguientes factores, en orden de importancia:</w:t>
      </w:r>
    </w:p>
    <w:p>
      <w:pPr>
        <w:pStyle w:val="ListBullet"/>
        <w:spacing w:after="40"/>
      </w:pPr>
      <w:r>
        <w:rPr>
          <w:b/>
        </w:rPr>
        <w:t xml:space="preserve">1) Precio de equipos nuevos: </w:t>
      </w:r>
      <w:r>
        <w:t>Oferta económica por los equipos nuevos detallados en el punto 2 (precio unitario y total).</w:t>
      </w:r>
    </w:p>
    <w:p>
      <w:pPr>
        <w:pStyle w:val="ListBullet"/>
        <w:spacing w:after="40"/>
      </w:pPr>
      <w:r>
        <w:rPr>
          <w:b/>
        </w:rPr>
        <w:t xml:space="preserve">2) Valoración del Trade-In: </w:t>
      </w:r>
      <w:r>
        <w:t>Cotización ofrecida por el equipo HP M880 entregado en parte de pago. Este criterio recibirá especial consideración en la evaluación final, pudiendo ser determinante en caso de paridad económica del precio de los equipos nuevos.</w:t>
      </w:r>
    </w:p>
    <w:p>
      <w:pPr>
        <w:pStyle w:val="ListBullet"/>
        <w:spacing w:after="40"/>
      </w:pPr>
      <w:r>
        <w:rPr>
          <w:b/>
        </w:rPr>
        <w:t xml:space="preserve">3) Plazo de entrega: </w:t>
      </w:r>
      <w:r>
        <w:t>Plazo de entrega ofrecido y disponibilidad de stock.</w:t>
      </w:r>
    </w:p>
    <w:p>
      <w:pPr>
        <w:pStyle w:val="ListBullet"/>
        <w:spacing w:after="40"/>
      </w:pPr>
      <w:r>
        <w:rPr>
          <w:b/>
        </w:rPr>
        <w:t xml:space="preserve">4) Garantía: </w:t>
      </w:r>
      <w:r>
        <w:t>Condiciones de garantía oficial del fabricante.</w:t>
      </w:r>
    </w:p>
    <w:p>
      <w:r>
        <w:rPr>
          <w:b/>
          <w:color w:val="1F3A5F"/>
          <w:sz w:val="26"/>
        </w:rPr>
        <w:t>5. MODALIDAD DE LA LICITACIÓN</w:t>
      </w:r>
    </w:p>
    <w:p>
      <w:r>
        <w:rPr>
          <w:b/>
          <w:color w:val="1F3A5F"/>
          <w:sz w:val="23"/>
        </w:rPr>
        <w:t>5.1. Sobre cerrado</w:t>
      </w:r>
    </w:p>
    <w:p>
      <w:pPr>
        <w:spacing w:after="80"/>
        <w:jc w:val="both"/>
      </w:pPr>
      <w:r>
        <w:rPr>
          <w:b w:val="0"/>
          <w:i w:val="0"/>
          <w:sz w:val="22"/>
        </w:rPr>
        <w:t>La presente licitación se desarrolla bajo la modalidad de SOBRE CERRADO. Cada oferente desconoce la identidad del resto de los oferentes invitados, así como los montos y condiciones que estos ofrezcan. Trafigura garantiza la confidencialidad de las ofertas presentadas hasta el cierre del proceso de evaluación. Queda prohibido a los oferentes intentar identificar al resto de los participantes; el incumplimiento de esta condición será causal de desestimación de la oferta.</w:t>
      </w:r>
    </w:p>
    <w:p>
      <w:r>
        <w:rPr>
          <w:b/>
          <w:color w:val="1F3A5F"/>
          <w:sz w:val="23"/>
        </w:rPr>
        <w:t>5.2. Contenido obligatorio de la oferta</w:t>
      </w:r>
    </w:p>
    <w:p>
      <w:pPr>
        <w:spacing w:after="80"/>
        <w:jc w:val="both"/>
      </w:pPr>
      <w:r>
        <w:rPr>
          <w:b w:val="0"/>
          <w:i w:val="0"/>
          <w:sz w:val="22"/>
        </w:rPr>
        <w:t>La propuesta comercial deberá indicar de forma clara y desglosada:</w:t>
      </w:r>
    </w:p>
    <w:p>
      <w:pPr>
        <w:pStyle w:val="ListBullet"/>
        <w:spacing w:after="40"/>
      </w:pPr>
      <w:r>
        <w:rPr>
          <w:b/>
        </w:rPr>
        <w:t xml:space="preserve">• </w:t>
      </w:r>
      <w:r>
        <w:t>Tarifa cotizada (precio unitario y total por cada equipo nuevo, y monto ofrecido por el Trade-In del M880).</w:t>
      </w:r>
    </w:p>
    <w:p>
      <w:pPr>
        <w:pStyle w:val="ListBullet"/>
        <w:spacing w:after="40"/>
      </w:pPr>
      <w:r>
        <w:rPr>
          <w:b/>
        </w:rPr>
        <w:t xml:space="preserve">• </w:t>
      </w:r>
      <w:r>
        <w:t>Alcance / cobertura y detalle de lo ofertado (modelos exactos, componentes incluidos, garantía, plazo de entrega).</w:t>
      </w:r>
    </w:p>
    <w:p>
      <w:pPr>
        <w:pStyle w:val="ListBullet"/>
        <w:spacing w:after="40"/>
      </w:pPr>
      <w:r>
        <w:rPr>
          <w:b/>
        </w:rPr>
        <w:t xml:space="preserve">• </w:t>
      </w:r>
      <w:r>
        <w:t>Términos de pago propuestos.</w:t>
      </w:r>
    </w:p>
    <w:p>
      <w:pPr>
        <w:pStyle w:val="ListBullet"/>
        <w:spacing w:after="40"/>
      </w:pPr>
      <w:r>
        <w:rPr>
          <w:b/>
        </w:rPr>
        <w:t xml:space="preserve">• </w:t>
      </w:r>
      <w:r>
        <w:t>Envío de productos: indicar expresamente si está INCLUIDO o NO INCLUIDO en el precio cotizado, así como instalación física en oficina si corresponde.</w:t>
      </w:r>
    </w:p>
    <w:p>
      <w:pPr>
        <w:pStyle w:val="ListBullet"/>
        <w:spacing w:after="40"/>
      </w:pPr>
      <w:r>
        <w:rPr>
          <w:b/>
        </w:rPr>
        <w:t xml:space="preserve">• </w:t>
      </w:r>
      <w:r>
        <w:t>Validez de la oferta (no menor a 15 días corridos desde su presentación).</w:t>
      </w:r>
    </w:p>
    <w:p>
      <w:pPr>
        <w:pStyle w:val="ListBullet"/>
        <w:spacing w:after="40"/>
      </w:pPr>
      <w:r>
        <w:rPr>
          <w:b/>
        </w:rPr>
        <w:t xml:space="preserve">• </w:t>
      </w:r>
      <w:r>
        <w:t>Datos de la empresa oferente (CUIT, razón social, contacto comercial) y acreditación de partnership vigente con HP Inc., con indicación del nivel correspondiente.</w:t>
      </w:r>
    </w:p>
    <w:p>
      <w:r>
        <w:rPr>
          <w:b/>
          <w:color w:val="1F3A5F"/>
          <w:sz w:val="26"/>
        </w:rPr>
        <w:t>6. CONDICIONES COMERCIALES</w:t>
      </w:r>
    </w:p>
    <w:p>
      <w:r>
        <w:rPr>
          <w:b/>
          <w:color w:val="1F3A5F"/>
          <w:sz w:val="23"/>
        </w:rPr>
        <w:t>6.1. Moneda y cancelación de saldos</w:t>
      </w:r>
    </w:p>
    <w:p>
      <w:pPr>
        <w:spacing w:after="80"/>
        <w:jc w:val="both"/>
      </w:pPr>
      <w:r>
        <w:rPr>
          <w:b w:val="0"/>
          <w:i w:val="0"/>
          <w:sz w:val="22"/>
        </w:rPr>
        <w:t>El oferente podrá cotizar en la moneda que considere apropiada (pesos argentinos o moneda extranjera).</w:t>
      </w:r>
    </w:p>
    <w:p>
      <w:pPr>
        <w:jc w:val="both"/>
      </w:pPr>
      <w:r>
        <w:rPr>
          <w:b/>
        </w:rPr>
        <w:t xml:space="preserve">Aclaración importante: </w:t>
      </w:r>
      <w:r>
        <w:t>Trafigura Argentina S.A. y sus filiales locales en el territorio de la República Argentina cancelan sus saldos cotizados en moneda extranjera en pesos argentinos (AR$) a cotización BNA Divisa Vendedor al cierre del último día hábil anterior a la liberación del pago, sin excepción. Y, para su cancelación, la facturación deberá realizarse en la misma divisa que la empleada tanto en la propuesta comercial como en las órdenes de compra correspondientes.</w:t>
      </w:r>
    </w:p>
    <w:p>
      <w:r>
        <w:rPr>
          <w:b/>
          <w:color w:val="1F3A5F"/>
          <w:sz w:val="23"/>
        </w:rPr>
        <w:t>6.2. Condiciones de pago</w:t>
      </w:r>
    </w:p>
    <w:p>
      <w:pPr>
        <w:spacing w:after="80"/>
        <w:jc w:val="both"/>
      </w:pPr>
      <w:r>
        <w:rPr>
          <w:b w:val="0"/>
          <w:i w:val="0"/>
          <w:sz w:val="22"/>
        </w:rPr>
        <w:t>Las condiciones de pago serán acordadas con el oferente adjudicado al momento de emitir la orden de compra. Se solicita al oferente indicar en su propuesta los términos de pago que considere aplicables.</w:t>
      </w:r>
    </w:p>
    <w:p>
      <w:r>
        <w:rPr>
          <w:b/>
          <w:color w:val="1F3A5F"/>
          <w:sz w:val="23"/>
        </w:rPr>
        <w:t>6.3. Lugar y plazo de entrega</w:t>
      </w:r>
    </w:p>
    <w:p>
      <w:pPr>
        <w:spacing w:after="80"/>
        <w:jc w:val="both"/>
      </w:pPr>
      <w:r>
        <w:rPr>
          <w:b w:val="0"/>
          <w:i w:val="0"/>
          <w:sz w:val="22"/>
        </w:rPr>
        <w:t>Los equipos deberán ser entregados en las oficinas de Trafigura ubicadas en Marcelino E. Freyre 3650, Palermo, Ciudad Autónoma de Buenos Aires, en horario comercial a coordinar con el área de Procurement. Indicar plazo de entrega estimado en días hábiles desde la emisión de la orden de compra.</w:t>
      </w:r>
    </w:p>
    <w:p>
      <w:r>
        <w:rPr>
          <w:b/>
          <w:color w:val="1F3A5F"/>
          <w:sz w:val="26"/>
        </w:rPr>
        <w:t>7. CONFIDENCIALIDAD Y CONDUCTA</w:t>
      </w:r>
    </w:p>
    <w:p>
      <w:pPr>
        <w:spacing w:after="80"/>
        <w:jc w:val="both"/>
      </w:pPr>
      <w:r>
        <w:rPr>
          <w:b w:val="0"/>
          <w:i w:val="0"/>
          <w:sz w:val="22"/>
        </w:rPr>
        <w:t>El presente pliego, así como toda información intercambiada en el marco de esta licitación, tiene carácter estrictamente confidencial. El oferente se compromete a no divulgar a terceros los términos del proceso, los modelos solicitados, las condiciones particulares de Trafigura ni la existencia misma de la presente convocatoria.</w:t>
      </w:r>
    </w:p>
    <w:p>
      <w:pPr>
        <w:spacing w:after="80"/>
        <w:jc w:val="both"/>
      </w:pPr>
      <w:r>
        <w:rPr>
          <w:b w:val="0"/>
          <w:i w:val="0"/>
          <w:sz w:val="22"/>
        </w:rPr>
        <w:t>Trafigura se reserva el derecho de rechazar la totalidad de las ofertas recibidas, declarar desierta la licitación, solicitar aclaraciones, modificaciones o mejoras, o adjudicar parcialmente, sin que ello genere obligación de indemnización ni reclamo alguno por parte de los oferentes.</w:t>
      </w:r>
    </w:p>
    <w:p>
      <w:r>
        <w:rPr>
          <w:b/>
          <w:color w:val="1F3A5F"/>
          <w:sz w:val="26"/>
        </w:rPr>
        <w:t>8. PRESENTACIÓN DE OFERTAS</w:t>
      </w:r>
    </w:p>
    <w:p>
      <w:pPr>
        <w:spacing w:after="40"/>
        <w:jc w:val="both"/>
      </w:pPr>
      <w:r>
        <w:rPr>
          <w:b w:val="0"/>
          <w:i w:val="0"/>
          <w:sz w:val="22"/>
        </w:rPr>
        <w:t xml:space="preserve">Las ofertas deberán ser remitidas por correo electrónico al área de Procurement de Trafigura Argentina S.A., con asunto: </w:t>
      </w:r>
    </w:p>
    <w:p>
      <w:pPr>
        <w:jc w:val="both"/>
      </w:pPr>
      <w:r>
        <w:rPr>
          <w:b/>
          <w:i/>
        </w:rPr>
        <w:t>"Oferta — Licitación Equipos MFP HP — [Razón Social del oferente]"</w:t>
      </w:r>
    </w:p>
    <w:p>
      <w:pPr>
        <w:spacing w:after="80"/>
        <w:jc w:val="both"/>
      </w:pPr>
      <w:r>
        <w:rPr>
          <w:b w:val="0"/>
          <w:i w:val="0"/>
          <w:sz w:val="22"/>
        </w:rPr>
        <w:t>Toda consulta técnica o aclaratoria deberá canalizarse exclusivamente por el mismo medio. Las consultas formuladas y sus respuestas, en caso de afectar a la interpretación general del pliego, serán comunicadas a la totalidad de los oferentes invitados, preservando en todo momento la identidad de quien las haya formulado.</w:t>
      </w:r>
    </w:p>
    <w:p/>
    <w:p>
      <w:pPr>
        <w:jc w:val="center"/>
      </w:pPr>
      <w:r>
        <w:rPr>
          <w:i/>
          <w:color w:val="808080"/>
          <w:sz w:val="20"/>
        </w:rPr>
        <w:t>— Fin del pliego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