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7nlk2ynsm6v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Access controls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gridCol w:w="3240"/>
        <w:tblGridChange w:id="0">
          <w:tblGrid>
            <w:gridCol w:w="3240"/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</w:rPr>
            </w:pPr>
            <w:bookmarkStart w:colFirst="0" w:colLast="0" w:name="_rqizykdowjbx" w:id="1"/>
            <w:bookmarkEnd w:id="1"/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Note(s)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</w:rPr>
            </w:pPr>
            <w:bookmarkStart w:colFirst="0" w:colLast="0" w:name="_p472q8avw9cl" w:id="2"/>
            <w:bookmarkEnd w:id="2"/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Issue(s)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</w:rPr>
            </w:pPr>
            <w:bookmarkStart w:colFirst="0" w:colLast="0" w:name="_20luanqy86lg" w:id="3"/>
            <w:bookmarkEnd w:id="3"/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Recommendation(s)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8"/>
                <w:szCs w:val="28"/>
                <w:rtl w:val="0"/>
              </w:rPr>
              <w:t xml:space="preserve">Authorization /authentication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Objective: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List 1-2 pieces of information that can help identify the threat: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Who caused this incident?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When did it occur?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Google Sans" w:cs="Google Sans" w:eastAsia="Google Sans" w:hAnsi="Google Sans"/>
                <w:i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10/03/2023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What device was used? 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Google Sans" w:cs="Google Sans" w:eastAsia="Google Sans" w:hAnsi="Google Sans"/>
                <w:i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User was Legal/Administrator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Google Sans" w:cs="Google Sans" w:eastAsia="Google Sans" w:hAnsi="Google Sans"/>
                <w:i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IP address:152.207.255.255.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Objective: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Based on your notes, list 1-2 authorization issues: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What level of access did the user have?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Google Sans" w:cs="Google Sans" w:eastAsia="Google Sans" w:hAnsi="Google Sans"/>
                <w:i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Robert Taylot Jr. had access through the legal account.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Should their account be active?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rPr>
                <w:rFonts w:ascii="Google Sans" w:cs="Google Sans" w:eastAsia="Google Sans" w:hAnsi="Google Sans"/>
                <w:i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No, they have not been a contractor since 2019.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Objective: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Make at least 1 recommendation that could prevent this kind of incident: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Which technical, operational, or managerial controls could help?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Google Sans" w:cs="Google Sans" w:eastAsia="Google Sans" w:hAnsi="Google Sans"/>
                <w:i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User accounts should expire after a 30 days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Google Sans" w:cs="Google Sans" w:eastAsia="Google Sans" w:hAnsi="Google Sans"/>
                <w:i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Contractors should have limited access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Google Sans" w:cs="Google Sans" w:eastAsia="Google Sans" w:hAnsi="Google Sans"/>
                <w:i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rtl w:val="0"/>
              </w:rPr>
              <w:t xml:space="preserve">Enable MFA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