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Terratrèmols a La Palma</w:t>
      </w:r>
    </w:p>
    <w:p>
      <w:pPr>
        <w:pStyle w:val="Author"/>
      </w:pPr>
      <w:r>
        <w:t xml:space="preserve">Steve Purves</w:t>
      </w:r>
    </w:p>
    <w:p>
      <w:pPr>
        <w:pStyle w:val="Author"/>
      </w:pPr>
      <w:r>
        <w:t xml:space="preserve">Rowan Cockett</w:t>
      </w:r>
    </w:p>
    <w:p>
      <w:pPr>
        <w:pStyle w:val="Date"/>
      </w:pPr>
      <w:r>
        <w:t xml:space="preserve">2026-02-03</w:t>
      </w:r>
    </w:p>
    <w:p>
      <w:pPr>
        <w:pStyle w:val="AbstractTitle"/>
      </w:pPr>
      <w:r>
        <w:t xml:space="preserve">Resum</w:t>
      </w:r>
    </w:p>
    <w:p>
      <w:pPr>
        <w:pStyle w:val="Abstract"/>
      </w:pPr>
      <w:r>
        <w:t xml:space="preserve">En setembre de 2021, un bot significant en l’activitat sísma de l’illa de La Palma (Illes Canàries, Espanya) va senyalar l’inici d’una crisi volcànica que encara continua. Dades de terratrèmols són arreplegades i publicades continuament per l’Institut Geográfic Nacional (IGN).</w:t>
      </w:r>
    </w:p>
    <w:bookmarkStart w:id="26" w:name="introducció"/>
    <w:p>
      <w:pPr>
        <w:pStyle w:val="Heading2"/>
      </w:pPr>
      <w:r>
        <w:t xml:space="preserve">1 Introducció</w:t>
      </w:r>
    </w:p>
    <w:p>
      <w:pPr>
        <w:pStyle w:val="FirstParagraph"/>
      </w:pPr>
      <w:r>
        <w:rPr>
          <w:vertAlign w:val="subscript"/>
        </w:rPr>
        <w:t xml:space="preserve">Font:</w:t>
      </w:r>
      <w:r>
        <w:rPr>
          <w:vertAlign w:val="subscript"/>
        </w:rPr>
        <w:t xml:space="preserve"> </w:t>
      </w:r>
      <w:hyperlink r:id="rId9">
        <w:r>
          <w:rPr>
            <w:rStyle w:val="Hyperlink"/>
            <w:vertAlign w:val="subscript"/>
          </w:rPr>
          <w:t xml:space="preserve">Bloc de notes de l'article</w:t>
        </w:r>
      </w:hyperlink>
    </w:p>
    <w:bookmarkStart w:id="14" w:name="cell-fig-timeline"/>
    <w:tbl>
      <w:tblPr>
        <w:tblStyle w:val="Table"/>
        <w:tblW w:type="pct" w:w="5000"/>
        <w:tblLayout w:type="fixed"/>
        <w:tblLook w:firstRow="0" w:lastRow="0" w:firstColumn="0" w:lastColumn="0" w:noHBand="0" w:noVBand="0" w:val="0000"/>
      </w:tblPr>
      <w:tblGrid>
        <w:gridCol w:w="7920"/>
      </w:tblGrid>
      <w:tr>
        <w:tc>
          <w:tcPr/>
          <w:bookmarkStart w:id="13" w:name="fig-timeline"/>
          <w:p>
            <w:pPr>
              <w:pStyle w:val="Compact"/>
              <w:jc w:val="center"/>
            </w:pPr>
            <w:r>
              <w:drawing>
                <wp:inline>
                  <wp:extent cx="5334000" cy="1333500"/>
                  <wp:effectExtent b="0" l="0" r="0" t="0"/>
                  <wp:docPr descr="" title="" id="11" name="Picture"/>
                  <a:graphic>
                    <a:graphicData uri="http://schemas.openxmlformats.org/drawingml/2006/picture">
                      <pic:pic>
                        <pic:nvPicPr>
                          <pic:cNvPr descr="index_files/figure-docx/fig-timeline-1.png" id="12" name="Picture"/>
                          <pic:cNvPicPr>
                            <a:picLocks noChangeArrowheads="1" noChangeAspect="1"/>
                          </pic:cNvPicPr>
                        </pic:nvPicPr>
                        <pic:blipFill>
                          <a:blip r:embed="rId1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Cronologia de terratrèmols recents.</w:t>
            </w:r>
          </w:p>
          <w:bookmarkEnd w:id="13"/>
        </w:tc>
      </w:tr>
    </w:tbl>
    <w:p>
      <w:pPr>
        <w:pStyle w:val="BodyText"/>
      </w:pPr>
      <w:r>
        <w:rPr>
          <w:vertAlign w:val="subscript"/>
        </w:rPr>
        <w:t xml:space="preserve">Font:</w:t>
      </w:r>
      <w:r>
        <w:rPr>
          <w:vertAlign w:val="subscript"/>
        </w:rPr>
        <w:t xml:space="preserve"> </w:t>
      </w:r>
      <w:hyperlink r:id="rId9">
        <w:r>
          <w:rPr>
            <w:rStyle w:val="Hyperlink"/>
            <w:vertAlign w:val="subscript"/>
          </w:rPr>
          <w:t xml:space="preserve">Bloc de notes de l'article</w:t>
        </w:r>
      </w:hyperlink>
    </w:p>
    <w:bookmarkEnd w:id="14"/>
    <w:p>
      <w:pPr>
        <w:pStyle w:val="BodyText"/>
      </w:pPr>
      <w:r>
        <w:rPr>
          <w:vertAlign w:val="subscript"/>
        </w:rPr>
        <w:t xml:space="preserve">Font:</w:t>
      </w:r>
      <w:r>
        <w:rPr>
          <w:vertAlign w:val="subscript"/>
        </w:rPr>
        <w:t xml:space="preserve"> </w:t>
      </w:r>
      <w:hyperlink r:id="rId9">
        <w:r>
          <w:rPr>
            <w:rStyle w:val="Hyperlink"/>
            <w:vertAlign w:val="subscript"/>
          </w:rPr>
          <w:t xml:space="preserve">Bloc de notes de l'article</w:t>
        </w:r>
      </w:hyperlink>
    </w:p>
    <w:p>
      <w:pPr>
        <w:pStyle w:val="BodyText"/>
      </w:pPr>
      <w:r>
        <w:t xml:space="preserve">D’acorda amb dades que arriben a l’any 1971, les eurpcions a La Palma esdevenen cada 79.8 anys en terme mig.</w:t>
      </w:r>
    </w:p>
    <w:p>
      <w:pPr>
        <w:pStyle w:val="BodyText"/>
      </w:pPr>
      <w:r>
        <w:t xml:space="preserve">Estudis dels sistema magmàtic que alimenten el volcà, tal com</w:t>
      </w:r>
      <w:r>
        <w:t xml:space="preserve"> </w:t>
      </w:r>
      <w:r>
        <w:t xml:space="preserve">Marrero et al. (2019)</w:t>
      </w:r>
      <w:r>
        <w:t xml:space="preserve">, proposen que hi ha dos reserves principals de magma que alimenten el volcà de</w:t>
      </w:r>
      <w:r>
        <w:t xml:space="preserve"> </w:t>
      </w:r>
      <w:r>
        <w:rPr>
          <w:i/>
          <w:iCs/>
        </w:rPr>
        <w:t xml:space="preserve">Cumbre Vieja</w:t>
      </w:r>
      <w:r>
        <w:t xml:space="preserve">; un al mantell (30-40 km de profunditat), que recarrega i alimenta alhora una reserva més superficial a l’escorça (10-20 km de profunditat).</w:t>
      </w:r>
    </w:p>
    <w:p>
      <w:pPr>
        <w:pStyle w:val="BodyText"/>
      </w:pPr>
      <w:r>
        <w:t xml:space="preserve">Huit erupcions han estat registrades des de finals del segle XV (</w:t>
      </w:r>
      <w:hyperlink w:anchor="fig-timeline">
        <w:r>
          <w:rPr>
            <w:rStyle w:val="Hyperlink"/>
          </w:rPr>
          <w:t xml:space="preserve">Figura 1</w:t>
        </w:r>
      </w:hyperlink>
      <w:r>
        <w:t xml:space="preserve">).</w:t>
      </w:r>
    </w:p>
    <w:p>
      <w:pPr>
        <w:pStyle w:val="BodyText"/>
      </w:pPr>
      <w:r>
        <w:t xml:space="preserve">Les dades i els mètodes són discutats en</w:t>
      </w:r>
      <w:r>
        <w:t xml:space="preserve"> </w:t>
      </w:r>
      <w:hyperlink w:anchor="sec-data-methods">
        <w:r>
          <w:rPr>
            <w:rStyle w:val="Hyperlink"/>
          </w:rPr>
          <w:t xml:space="preserve">Secció 2</w:t>
        </w:r>
      </w:hyperlink>
      <w:r>
        <w:t xml:space="preserve">.</w:t>
      </w:r>
    </w:p>
    <w:p>
      <w:pPr>
        <w:pStyle w:val="BodyText"/>
      </w:pPr>
      <w:r>
        <w:t xml:space="preserve">Siga</w:t>
      </w:r>
      <w:r>
        <w:t xml:space="preserve"> </w:t>
      </w:r>
      <m:oMath>
        <m:r>
          <m:t>x</m:t>
        </m:r>
      </m:oMath>
      <w:r>
        <w:t xml:space="preserve"> </w:t>
      </w:r>
      <w:r>
        <w:t xml:space="preserve">el nombre d’erupcions en un any. Aleshores,</w:t>
      </w:r>
      <w:r>
        <w:t xml:space="preserve"> </w:t>
      </w:r>
      <m:oMath>
        <m:r>
          <m:t>x</m:t>
        </m:r>
      </m:oMath>
      <w:r>
        <w:t xml:space="preserve"> </w:t>
      </w:r>
      <w:r>
        <w:t xml:space="preserve">pot ser modelada per una distribució de Poisson</w:t>
      </w:r>
    </w:p>
    <w:p>
      <w:pPr>
        <w:pStyle w:val="BodyText"/>
      </w:pPr>
      <w:bookmarkStart w:id="15" w:name="eq-poisson"/>
      <m:oMathPara>
        <m:oMathParaPr>
          <m:jc m:val="center"/>
        </m:oMathParaPr>
        <m:oMath>
          <m:r>
            <m:t>p</m:t>
          </m:r>
          <m:r>
            <m:rPr>
              <m:sty m:val="p"/>
            </m:rPr>
            <m:t>(</m:t>
          </m:r>
          <m:r>
            <m:t>x</m:t>
          </m:r>
          <m:r>
            <m:rPr>
              <m:sty m:val="p"/>
            </m:rPr>
            <m:t>)</m:t>
          </m:r>
          <m:r>
            <m:rPr>
              <m:sty m:val="p"/>
            </m:rPr>
            <m:t>=</m:t>
          </m:r>
          <m:f>
            <m:fPr>
              <m:type m:val="bar"/>
            </m:fPr>
            <m:num>
              <m:sSup>
                <m:e>
                  <m:r>
                    <m:t>e</m:t>
                  </m:r>
                </m:e>
                <m:sup>
                  <m:r>
                    <m:rPr>
                      <m:sty m:val="p"/>
                    </m:rPr>
                    <m:t>−</m:t>
                  </m:r>
                  <m:r>
                    <m:t>λ</m:t>
                  </m:r>
                </m:sup>
              </m:sSup>
              <m:sSup>
                <m:e>
                  <m:r>
                    <m:t>λ</m:t>
                  </m:r>
                </m:e>
                <m:sup>
                  <m:r>
                    <m:t>x</m:t>
                  </m:r>
                </m:sup>
              </m:sSup>
            </m:num>
            <m:den>
              <m:r>
                <m:t>x</m:t>
              </m:r>
              <m:r>
                <m:rPr>
                  <m:sty m:val="p"/>
                </m:rPr>
                <m:t>!</m:t>
              </m:r>
            </m:den>
          </m:f>
          <m:r>
            <m:t>  </m:t>
          </m:r>
          <m:r>
            <m:rPr>
              <m:sty m:val="p"/>
            </m:rPr>
            <m:t>(</m:t>
          </m:r>
          <m:r>
            <m:t>1</m:t>
          </m:r>
          <m:r>
            <m:rPr>
              <m:sty m:val="p"/>
            </m:rPr>
            <m:t>)</m:t>
          </m:r>
        </m:oMath>
      </m:oMathPara>
      <w:bookmarkEnd w:id="15"/>
    </w:p>
    <w:p>
      <w:pPr>
        <w:pStyle w:val="FirstParagraph"/>
      </w:pPr>
      <w:r>
        <w:t xml:space="preserve">on</w:t>
      </w:r>
      <w:r>
        <w:t xml:space="preserve"> </w:t>
      </w:r>
      <m:oMath>
        <m:r>
          <m:t>λ</m:t>
        </m:r>
      </m:oMath>
      <w:r>
        <w:t xml:space="preserve"> </w:t>
      </w:r>
      <w:r>
        <w:t xml:space="preserve">és la taxa d’erupcions per any. Utilitzant</w:t>
      </w:r>
      <w:r>
        <w:t xml:space="preserve"> </w:t>
      </w:r>
      <w:hyperlink w:anchor="eq-poisson">
        <w:r>
          <w:rPr>
            <w:rStyle w:val="Hyperlink"/>
          </w:rPr>
          <w:t xml:space="preserve">Equació 1</w:t>
        </w:r>
      </w:hyperlink>
      <w:r>
        <w:t xml:space="preserve">, la probabilitat d’una erupció en els pròxims</w:t>
      </w:r>
      <w:r>
        <w:t xml:space="preserve"> </w:t>
      </w:r>
      <m:oMath>
        <m:r>
          <m:t>t</m:t>
        </m:r>
      </m:oMath>
      <w:r>
        <w:t xml:space="preserve"> </w:t>
      </w:r>
      <w:r>
        <w:t xml:space="preserve">anys pot ser calculada.</w:t>
      </w:r>
    </w:p>
    <w:tbl>
      <w:tblPr>
        <w:tblStyle w:val="Table"/>
        <w:tblW w:type="pct" w:w="5000"/>
        <w:tblLayout w:type="fixed"/>
        <w:tblLook w:firstRow="0" w:lastRow="0" w:firstColumn="0" w:lastColumn="0" w:noHBand="0" w:noVBand="0" w:val="0000"/>
      </w:tblPr>
      <w:tblGrid>
        <w:gridCol w:w="7920"/>
      </w:tblGrid>
      <w:tr>
        <w:tc>
          <w:tcPr/>
          <w:bookmarkStart w:id="16" w:name="tbl-history"/>
          <w:p>
            <w:pPr>
              <w:jc w:val="center"/>
            </w:pPr>
            <w:pPr>
              <w:jc w:val="left"/>
              <w:spacing w:before="200"/>
              <w:pStyle w:val="ImageCaption"/>
            </w:pPr>
            <w:r>
              <w:t xml:space="preserve">Taula 1: Història recent d’erupcions a La Palma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Nome</w:t>
                  </w:r>
                </w:p>
              </w:tc>
              <w:tc>
                <w:tcPr/>
                <w:p>
                  <w:pPr>
                    <w:pStyle w:val="Compact"/>
                    <w:jc w:val="center"/>
                  </w:pPr>
                  <w:r>
                    <w:t xml:space="preserve">Any</w:t>
                  </w:r>
                </w:p>
              </w:tc>
            </w:tr>
            <w:tr>
              <w:tc>
                <w:tcPr/>
                <w:p>
                  <w:pPr>
                    <w:pStyle w:val="Compact"/>
                    <w:jc w:val="center"/>
                  </w:pPr>
                  <w:r>
                    <w:t xml:space="preserve">Actual</w:t>
                  </w:r>
                </w:p>
              </w:tc>
              <w:tc>
                <w:tcPr/>
                <w:p>
                  <w:pPr>
                    <w:pStyle w:val="Compact"/>
                    <w:jc w:val="center"/>
                  </w:pPr>
                  <w:r>
                    <w:t xml:space="preserve">2021</w:t>
                  </w:r>
                </w:p>
              </w:tc>
            </w:tr>
            <w:tr>
              <w:tc>
                <w:tcPr/>
                <w:p>
                  <w:pPr>
                    <w:pStyle w:val="Compact"/>
                    <w:jc w:val="center"/>
                  </w:pPr>
                  <w:r>
                    <w:t xml:space="preserve">Teneguía</w:t>
                  </w:r>
                </w:p>
              </w:tc>
              <w:tc>
                <w:tcPr/>
                <w:p>
                  <w:pPr>
                    <w:pStyle w:val="Compact"/>
                    <w:jc w:val="center"/>
                  </w:pPr>
                  <w:r>
                    <w:t xml:space="preserve">1971</w:t>
                  </w:r>
                </w:p>
              </w:tc>
            </w:tr>
            <w:tr>
              <w:tc>
                <w:tcPr/>
                <w:p>
                  <w:pPr>
                    <w:pStyle w:val="Compact"/>
                    <w:jc w:val="center"/>
                  </w:pPr>
                  <w:r>
                    <w:t xml:space="preserve">Nambroque</w:t>
                  </w:r>
                </w:p>
              </w:tc>
              <w:tc>
                <w:tcPr/>
                <w:p>
                  <w:pPr>
                    <w:pStyle w:val="Compact"/>
                    <w:jc w:val="center"/>
                  </w:pPr>
                  <w:r>
                    <w:t xml:space="preserve">1949</w:t>
                  </w:r>
                </w:p>
              </w:tc>
            </w:tr>
            <w:tr>
              <w:tc>
                <w:tcPr/>
                <w:p>
                  <w:pPr>
                    <w:pStyle w:val="Compact"/>
                    <w:jc w:val="center"/>
                  </w:pPr>
                  <w:r>
                    <w:t xml:space="preserve">El Charco</w:t>
                  </w:r>
                </w:p>
              </w:tc>
              <w:tc>
                <w:tcPr/>
                <w:p>
                  <w:pPr>
                    <w:pStyle w:val="Compact"/>
                    <w:jc w:val="center"/>
                  </w:pPr>
                  <w:r>
                    <w:t xml:space="preserve">1712</w:t>
                  </w:r>
                </w:p>
              </w:tc>
            </w:tr>
            <w:tr>
              <w:tc>
                <w:tcPr/>
                <w:p>
                  <w:pPr>
                    <w:pStyle w:val="Compact"/>
                    <w:jc w:val="center"/>
                  </w:pPr>
                  <w:r>
                    <w:t xml:space="preserve">Volcán San Antonio</w:t>
                  </w:r>
                </w:p>
              </w:tc>
              <w:tc>
                <w:tcPr/>
                <w:p>
                  <w:pPr>
                    <w:pStyle w:val="Compact"/>
                    <w:jc w:val="center"/>
                  </w:pPr>
                  <w:r>
                    <w:t xml:space="preserve">1677</w:t>
                  </w:r>
                </w:p>
              </w:tc>
            </w:tr>
            <w:tr>
              <w:tc>
                <w:tcPr/>
                <w:p>
                  <w:pPr>
                    <w:pStyle w:val="Compact"/>
                    <w:jc w:val="center"/>
                  </w:pPr>
                  <w:r>
                    <w:t xml:space="preserve">Volcán San Martin</w:t>
                  </w:r>
                </w:p>
              </w:tc>
              <w:tc>
                <w:tcPr/>
                <w:p>
                  <w:pPr>
                    <w:pStyle w:val="Compact"/>
                    <w:jc w:val="center"/>
                  </w:pPr>
                  <w:r>
                    <w:t xml:space="preserve">1646</w:t>
                  </w:r>
                </w:p>
              </w:tc>
            </w:tr>
            <w:tr>
              <w:tc>
                <w:tcPr/>
                <w:p>
                  <w:pPr>
                    <w:pStyle w:val="Compact"/>
                    <w:jc w:val="center"/>
                  </w:pPr>
                  <w:r>
                    <w:t xml:space="preserve">Tajuya near El Paso</w:t>
                  </w:r>
                </w:p>
              </w:tc>
              <w:tc>
                <w:tcPr/>
                <w:p>
                  <w:pPr>
                    <w:pStyle w:val="Compact"/>
                    <w:jc w:val="center"/>
                  </w:pPr>
                  <w:r>
                    <w:t xml:space="preserve">1585</w:t>
                  </w:r>
                </w:p>
              </w:tc>
            </w:tr>
            <w:tr>
              <w:tc>
                <w:tcPr/>
                <w:p>
                  <w:pPr>
                    <w:pStyle w:val="Compact"/>
                    <w:jc w:val="center"/>
                  </w:pPr>
                  <w:r>
                    <w:t xml:space="preserve">Montaña Quemada</w:t>
                  </w:r>
                </w:p>
              </w:tc>
              <w:tc>
                <w:tcPr/>
                <w:p>
                  <w:pPr>
                    <w:pStyle w:val="Compact"/>
                    <w:jc w:val="center"/>
                  </w:pPr>
                  <w:r>
                    <w:t xml:space="preserve">1492</w:t>
                  </w:r>
                </w:p>
              </w:tc>
            </w:tr>
          </w:tbl>
          <w:bookmarkEnd w:id="16"/>
          <w:p/>
        </w:tc>
      </w:tr>
    </w:tbl>
    <w:p>
      <w:pPr>
        <w:pStyle w:val="BodyText"/>
      </w:pPr>
      <w:hyperlink w:anchor="tbl-history">
        <w:r>
          <w:rPr>
            <w:rStyle w:val="Hyperlink"/>
          </w:rPr>
          <w:t xml:space="preserve">Taula 1</w:t>
        </w:r>
      </w:hyperlink>
      <w:r>
        <w:t xml:space="preserve"> </w:t>
      </w:r>
      <w:r>
        <w:t xml:space="preserve">resumeix les erupcions registrades des de la colonització de l’illa pels europeus cap a fnals del segle XV.</w:t>
      </w:r>
    </w:p>
    <w:tbl>
      <w:tblPr>
        <w:tblStyle w:val="Table"/>
        <w:tblW w:type="pct" w:w="5000"/>
        <w:tblLayout w:type="fixed"/>
        <w:tblLook w:firstRow="0" w:lastRow="0" w:firstColumn="0" w:lastColumn="0" w:noHBand="0" w:noVBand="0" w:val="0000"/>
      </w:tblPr>
      <w:tblGrid>
        <w:gridCol w:w="7920"/>
      </w:tblGrid>
      <w:tr>
        <w:tc>
          <w:tcPr/>
          <w:bookmarkStart w:id="20" w:name="fig-map"/>
          <w:p>
            <w:pPr>
              <w:pStyle w:val="Compact"/>
              <w:jc w:val="center"/>
            </w:pPr>
            <w:r>
              <w:drawing>
                <wp:inline>
                  <wp:extent cx="5334000" cy="2369740"/>
                  <wp:effectExtent b="0" l="0" r="0" t="0"/>
                  <wp:docPr descr="" title="" id="18" name="Picture"/>
                  <a:graphic>
                    <a:graphicData uri="http://schemas.openxmlformats.org/drawingml/2006/picture">
                      <pic:pic>
                        <pic:nvPicPr>
                          <pic:cNvPr descr="images/la-palma-map.png" id="19" name="Picture"/>
                          <pic:cNvPicPr>
                            <a:picLocks noChangeArrowheads="1" noChangeAspect="1"/>
                          </pic:cNvPicPr>
                        </pic:nvPicPr>
                        <pic:blipFill>
                          <a:blip r:embed="rId17"/>
                          <a:stretch>
                            <a:fillRect/>
                          </a:stretch>
                        </pic:blipFill>
                        <pic:spPr bwMode="auto">
                          <a:xfrm>
                            <a:off x="0" y="0"/>
                            <a:ext cx="5334000" cy="236974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Mapa de La Palma</w:t>
            </w:r>
          </w:p>
          <w:bookmarkEnd w:id="20"/>
        </w:tc>
      </w:tr>
    </w:tbl>
    <w:p>
      <w:pPr>
        <w:pStyle w:val="BodyText"/>
      </w:pPr>
      <w:r>
        <w:t xml:space="preserve">La Palma és una de les illes més occidentals de l’arxipèlag volcànic de les Illes Canàries (</w:t>
      </w:r>
      <w:hyperlink w:anchor="fig-map">
        <w:r>
          <w:rPr>
            <w:rStyle w:val="Hyperlink"/>
          </w:rPr>
          <w:t xml:space="preserve">Figura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spatial-plot"/>
          <w:p>
            <w:pPr>
              <w:pStyle w:val="Compact"/>
              <w:jc w:val="center"/>
            </w:pPr>
            <w:r>
              <w:drawing>
                <wp:inline>
                  <wp:extent cx="5334000" cy="3810000"/>
                  <wp:effectExtent b="0" l="0" r="0" t="0"/>
                  <wp:docPr descr="" title="" id="22" name="Picture"/>
                  <a:graphic>
                    <a:graphicData uri="http://schemas.openxmlformats.org/drawingml/2006/picture">
                      <pic:pic>
                        <pic:nvPicPr>
                          <pic:cNvPr descr="index_files/figure-docx/notebooks-explore-earthquakes-fig-spatial-plot-output-1.png" id="23" name="Picture"/>
                          <pic:cNvPicPr>
                            <a:picLocks noChangeArrowheads="1" noChangeAspect="1"/>
                          </pic:cNvPicPr>
                        </pic:nvPicPr>
                        <pic:blipFill>
                          <a:blip r:embed="rId21"/>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Localitats dels terratrèmols a La Palma des de 2017</w:t>
            </w:r>
          </w:p>
          <w:bookmarkEnd w:id="24"/>
        </w:tc>
      </w:tr>
    </w:tbl>
    <w:p>
      <w:pPr>
        <w:pStyle w:val="BodyText"/>
      </w:pPr>
      <w:r>
        <w:rPr>
          <w:vertAlign w:val="subscript"/>
        </w:rPr>
        <w:t xml:space="preserve">Font:</w:t>
      </w:r>
      <w:r>
        <w:rPr>
          <w:vertAlign w:val="subscript"/>
        </w:rPr>
        <w:t xml:space="preserve"> </w:t>
      </w:r>
      <w:hyperlink r:id="rId25">
        <w:r>
          <w:rPr>
            <w:rStyle w:val="Hyperlink"/>
            <w:vertAlign w:val="subscript"/>
          </w:rPr>
          <w:t xml:space="preserve">Exploració de terratrèmols</w:t>
        </w:r>
      </w:hyperlink>
    </w:p>
    <w:p>
      <w:pPr>
        <w:pStyle w:val="BodyText"/>
      </w:pPr>
      <w:hyperlink w:anchor="fig-spatial-plot">
        <w:r>
          <w:rPr>
            <w:rStyle w:val="Hyperlink"/>
          </w:rPr>
          <w:t xml:space="preserve">Figura 3</w:t>
        </w:r>
      </w:hyperlink>
      <w:r>
        <w:t xml:space="preserve"> </w:t>
      </w:r>
      <w:r>
        <w:t xml:space="preserve">mostra la localització de terratrèmols recents a La Palma.</w:t>
      </w:r>
    </w:p>
    <w:bookmarkEnd w:id="26"/>
    <w:bookmarkStart w:id="27" w:name="sec-data-methods"/>
    <w:p>
      <w:pPr>
        <w:pStyle w:val="Heading2"/>
      </w:pPr>
      <w:r>
        <w:t xml:space="preserve">2 Dades i Mètodes</w:t>
      </w:r>
    </w:p>
    <w:bookmarkEnd w:id="27"/>
    <w:bookmarkStart w:id="28" w:name="conclusió"/>
    <w:p>
      <w:pPr>
        <w:pStyle w:val="Heading2"/>
      </w:pPr>
      <w:r>
        <w:t xml:space="preserve">3 Conclusió</w:t>
      </w:r>
    </w:p>
    <w:bookmarkEnd w:id="28"/>
    <w:bookmarkStart w:id="32" w:name="referències"/>
    <w:p>
      <w:pPr>
        <w:pStyle w:val="Heading2"/>
      </w:pPr>
      <w:r>
        <w:t xml:space="preserve">Referències</w:t>
      </w:r>
    </w:p>
    <w:bookmarkStart w:id="31" w:name="refs"/>
    <w:bookmarkStart w:id="30" w:name="ref-marrero2019"/>
    <w:p>
      <w:pPr>
        <w:pStyle w:val="Bibliography"/>
      </w:pPr>
      <w:r>
        <w:t xml:space="preserve">Marrero, José, Alicia García, Manuel Berrocoso, Ángeles Llinares, Antonio Rodríguez-Losada, i R. Ortiz. 2019.</w:t>
      </w:r>
      <w:r>
        <w:t xml:space="preserve"> </w:t>
      </w:r>
      <w:r>
        <w:t xml:space="preserve">«Strategies for the development of volcanic hazard maps in monogenetic volcanic fields: the example of</w:t>
      </w:r>
      <w:r>
        <w:t xml:space="preserve"> </w:t>
      </w:r>
      <w:r>
        <w:t xml:space="preserve">La</w:t>
      </w:r>
      <w:r>
        <w:t xml:space="preserve"> </w:t>
      </w:r>
      <w:r>
        <w:t xml:space="preserve">Palma</w:t>
      </w:r>
      <w:r>
        <w:t xml:space="preserve"> </w:t>
      </w:r>
      <w:r>
        <w:t xml:space="preserve">(</w:t>
      </w:r>
      <w:r>
        <w:t xml:space="preserve">Canary</w:t>
      </w:r>
      <w:r>
        <w:t xml:space="preserve"> </w:t>
      </w:r>
      <w:r>
        <w:t xml:space="preserve">Islands</w:t>
      </w:r>
      <w:r>
        <w:t xml:space="preserve">)»</w:t>
      </w:r>
      <w:r>
        <w:t xml:space="preserve">.</w:t>
      </w:r>
      <w:r>
        <w:t xml:space="preserve"> </w:t>
      </w:r>
      <w:r>
        <w:rPr>
          <w:i/>
          <w:iCs/>
        </w:rPr>
        <w:t xml:space="preserve">Journal of Applied Volcanology</w:t>
      </w:r>
      <w:r>
        <w:t xml:space="preserve"> </w:t>
      </w:r>
      <w:r>
        <w:t xml:space="preserve">8 (juliol).</w:t>
      </w:r>
      <w:r>
        <w:t xml:space="preserve"> </w:t>
      </w:r>
      <w:hyperlink r:id="rId29">
        <w:r>
          <w:rPr>
            <w:rStyle w:val="Hyperlink"/>
          </w:rPr>
          <w:t xml:space="preserve">https://doi.org/10.1186/s13617-019-0085-5</w:t>
        </w:r>
      </w:hyperlink>
      <w:r>
        <w:t xml:space="preserve">.</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hyperlink" Id="rId9" Target="https://IgnasiLucas.github.io/manuscrits/index.qmd.html" TargetMode="External" /><Relationship Type="http://schemas.openxmlformats.org/officeDocument/2006/relationships/hyperlink" Id="rId25" Target="https://IgnasiLucas.github.io/manuscrits/notebooks/explore-earthquakes-preview.html#cell-fig-spatial-plot" TargetMode="External" /><Relationship Type="http://schemas.openxmlformats.org/officeDocument/2006/relationships/hyperlink" Id="rId29" Target="https://doi.org/10.1186/s13617-019-0085-5" TargetMode="External" /></Relationships>
</file>

<file path=word/_rels/footnotes.xml.rels><?xml version="1.0" encoding="UTF-8"?><Relationships xmlns="http://schemas.openxmlformats.org/package/2006/relationships"><Relationship Type="http://schemas.openxmlformats.org/officeDocument/2006/relationships/hyperlink" Id="rId9" Target="https://IgnasiLucas.github.io/manuscrits/index.qmd.html" TargetMode="External" /><Relationship Type="http://schemas.openxmlformats.org/officeDocument/2006/relationships/hyperlink" Id="rId25" Target="https://IgnasiLucas.github.io/manuscrits/notebooks/explore-earthquakes-preview.html#cell-fig-spatial-plot" TargetMode="External" /><Relationship Type="http://schemas.openxmlformats.org/officeDocument/2006/relationships/hyperlink" Id="rId29" Target="https://doi.org/10.1186/s13617-019-008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Terratrèmols a La Palma</dc:title>
  <dc:creator>Steve Purves; Rowan Cockett</dc:creator>
  <dc:language>ca</dc:language>
  <cp:keywords>La Palma, Terratrèmols</cp:keywords>
  <dcterms:created xsi:type="dcterms:W3CDTF">2026-02-03T17:02:45Z</dcterms:created>
  <dcterms:modified xsi:type="dcterms:W3CDTF">2026-02-03T17:02:45Z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 setembre de 2021, un bot significant en l’activitat sísma de l’illa de La Palma (Illes Canàries, Espanya) va senyalar l’inici d’una crisi volcànica que encara continua. Dades de terratrèmols són arreplegades i publicades continuament per l’Institut Geográfic Nacional (IGN).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2026-02-03</vt:lpwstr>
  </property>
  <property fmtid="{D5CDD505-2E9C-101B-9397-08002B2CF9AE}" pid="12" name="engine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ey-points">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plain-language-summary">
    <vt:lpwstr>Dades de terratrèmols a l’illa de La Palma des de l’erupció de setembre de 2021…</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Taula de continguts</vt:lpwstr>
  </property>
  <property fmtid="{D5CDD505-2E9C-101B-9397-08002B2CF9AE}" pid="29" name="unroll-markdown-cells">
    <vt:lpwstr>True</vt:lpwstr>
  </property>
</Properties>
</file>