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№5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Сети и телекоммуникации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 xml:space="preserve">Тема: Изучение механизмов трансляции сетевых адресов: </w:t>
      </w:r>
      <w:r>
        <w:rPr>
          <w:rStyle w:val="BookTitle"/>
          <w:bCs/>
          <w:caps w:val="false"/>
          <w:smallCaps w:val="false"/>
          <w:szCs w:val="28"/>
          <w:lang w:val="en-US" w:eastAsia="ru-RU" w:bidi="ar-SA"/>
        </w:rPr>
        <w:t>NAT</w:t>
      </w:r>
      <w:r>
        <w:rPr>
          <w:rStyle w:val="BookTitle"/>
          <w:bCs/>
          <w:caps w:val="false"/>
          <w:smallCaps w:val="false"/>
          <w:szCs w:val="28"/>
          <w:lang w:eastAsia="ru-RU" w:bidi="ar-SA"/>
        </w:rPr>
        <w:t xml:space="preserve">, </w:t>
      </w:r>
      <w:r>
        <w:rPr>
          <w:rStyle w:val="BookTitle"/>
          <w:bCs/>
          <w:caps w:val="false"/>
          <w:smallCaps w:val="false"/>
          <w:szCs w:val="28"/>
          <w:lang w:val="en-US" w:eastAsia="ru-RU" w:bidi="ar-SA"/>
        </w:rPr>
        <w:t>MASQUERADE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6"/>
        <w:gridCol w:w="2391"/>
        <w:gridCol w:w="3117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391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17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17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Борисенко К.А.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rPr/>
      </w:pPr>
      <w:r>
        <w:rPr/>
        <w:t>Цель работы.</w:t>
      </w:r>
    </w:p>
    <w:p>
      <w:pPr>
        <w:pStyle w:val="Heading2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Целью работы является изучение механизмов преобразования сетевых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адресов: NAT, Masquerade. Подробно рассмотрены некоторые сетевые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возможности VirtualBox, который будет использован для создания необходимой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инфраструктуры. Необходимо решить следующие задачи: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Создать три виртуальные машины.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Настроить имена, IP-адреса для каждой из подсетей в соответствии со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схемой.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Настроить переадресацию пакетов между сетевыми интерфейсами для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машины с NAT. Запретить прямой доступ между двумя частными подсетями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(необходимо для воссоздания условий, приближенных к реальным).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Настроить Masquerade на NAT-машине и проверить доступ к сети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Интернет с других машин и отсутствие доступа друг к другу.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Настроить доступ к сети Интернет для одной из машин с помощью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sNAT.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Добавить вторичный IP-адрес на NAT-машину, по которому в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>дальнейшем будет отвечать на внешние запросы машина, указанная в п. 5.</w:t>
      </w:r>
    </w:p>
    <w:p>
      <w:pPr>
        <w:pStyle w:val="Heading2"/>
        <w:numPr>
          <w:ilvl w:val="0"/>
          <w:numId w:val="1"/>
        </w:numPr>
        <w:ind w:firstLine="709" w:left="0"/>
        <w:rPr>
          <w:b w:val="false"/>
          <w:bCs w:val="false"/>
          <w:szCs w:val="24"/>
        </w:rPr>
      </w:pPr>
      <w:r>
        <w:rPr>
          <w:rFonts w:hint="eastAsia"/>
          <w:b w:val="false"/>
          <w:bCs w:val="false"/>
          <w:szCs w:val="24"/>
        </w:rPr>
        <w:t>Настроить dNAT для доступа к машине из внешней сети. Проверить</w:t>
      </w:r>
      <w:r>
        <w:rPr>
          <w:b w:val="false"/>
          <w:bCs w:val="false"/>
          <w:szCs w:val="24"/>
        </w:rPr>
        <w:t xml:space="preserve"> </w:t>
      </w:r>
      <w:r>
        <w:rPr>
          <w:rFonts w:hint="eastAsia"/>
          <w:b w:val="false"/>
          <w:bCs w:val="false"/>
          <w:szCs w:val="24"/>
        </w:rPr>
        <w:t xml:space="preserve">настройки. 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Задание.</w:t>
      </w:r>
    </w:p>
    <w:p>
      <w:pPr>
        <w:pStyle w:val="Standard"/>
        <w:rPr/>
      </w:pPr>
      <w:r>
        <w:rPr/>
        <w:t xml:space="preserve">Сначала необходимо изучить схему создания инфраструктуры для выполнения лабораторной работы. На рис. 1 отображена общая схема сети, в которой для доступа внутренних машин к сети необходима переадресация. Для настройки инфраструктуры на одном компьютере понадобится выполнить дополнительные действия (рис. 2). Они описаны в подразделе «Построение инфраструктуры для выполнения работы». </w:t>
      </w:r>
    </w:p>
    <w:p>
      <w:pPr>
        <w:pStyle w:val="Standard"/>
        <w:rPr/>
      </w:pPr>
      <w:r>
        <w:rPr/>
        <w:t>Необходимо решить следующие задачи:</w:t>
      </w:r>
    </w:p>
    <w:p>
      <w:pPr>
        <w:pStyle w:val="Standard"/>
        <w:rPr/>
      </w:pPr>
      <w:r>
        <w:rPr/>
        <w:t xml:space="preserve">1. Создать и настроить инфраструктуру для выполнения лабораторной работы. Развернуть три виртуальные машины. Настроить их в соответствии с подразделом «Построение инфраструктуры для выполнения работы». </w:t>
      </w:r>
    </w:p>
    <w:p>
      <w:pPr>
        <w:pStyle w:val="Standard"/>
        <w:rPr/>
      </w:pPr>
      <w:r>
        <w:rPr/>
        <w:t>2. Настройка доступа с ub1, ub2 в сеть Интернет с использованием Masquerade. Настройте ub-nat, используя Masqurade, так, чтобы машины ub1 и ub2 имели доступ в сеть Интернет.</w:t>
      </w:r>
    </w:p>
    <w:p>
      <w:pPr>
        <w:pStyle w:val="Standard"/>
        <w:rPr/>
      </w:pPr>
      <w:r>
        <w:rPr/>
        <w:t xml:space="preserve">3. Настройка доступа с ub1, ub2 в сеть Интернет с использованием sNAT. Настройте ub-nat, используя sNAT, так, чтобы машины ub1 и ub2 имели доступ в сеть Интернет. </w:t>
      </w:r>
    </w:p>
    <w:p>
      <w:pPr>
        <w:pStyle w:val="Standard"/>
        <w:rPr/>
      </w:pPr>
      <w:r>
        <w:rPr/>
        <w:t xml:space="preserve">4. Настройка доступа с ub2 на ub1 с использованием dNAT. Настройте ub-nat, используя dNAT, так, чтобы c машины ub2 можно было получить доступ к ub1, используя IP-адрес из NAT-сети. Проверить успешность настроек можно, выполнив с узла ub2 команду: </w:t>
      </w:r>
      <w:r>
        <w:rPr>
          <w:rFonts w:cs="Courier New" w:ascii="Courier New" w:hAnsi="Courier New"/>
          <w:sz w:val="24"/>
        </w:rPr>
        <w:t>ssh «SecondaryNatIPaddress»</w:t>
      </w:r>
      <w:r>
        <w:rPr/>
        <w:t xml:space="preserve">. </w:t>
      </w:r>
    </w:p>
    <w:p>
      <w:pPr>
        <w:pStyle w:val="Standard"/>
        <w:rPr/>
      </w:pPr>
      <w:r>
        <w:rPr/>
        <w:t xml:space="preserve">В результате подключения будет отображено имя виртуальной машины ub1. Пример: </w:t>
      </w:r>
    </w:p>
    <w:p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root@ub2:/home/user# ssh user@10.0.2.100 </w:t>
      </w:r>
    </w:p>
    <w:p>
      <w:pPr>
        <w:pStyle w:val="Standard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user@10.0.2.100'spassword: </w:t>
      </w:r>
    </w:p>
    <w:p>
      <w:pPr>
        <w:pStyle w:val="Standard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 xml:space="preserve">user@ub1:~$ </w:t>
      </w:r>
    </w:p>
    <w:p>
      <w:pPr>
        <w:pStyle w:val="Standard"/>
        <w:rPr>
          <w:lang w:eastAsia="ru-RU" w:bidi="ar-SA"/>
        </w:rPr>
      </w:pPr>
      <w:r>
        <w:rPr/>
        <w:t>В данном примере вторичный IP-адрес на ub-nat настроен на интерфейсе, подключенном к NAT-сети, – IP-адрес: 10.0.2.100. При правильной настройке ssh доступ к этому IP-адресу будет открывать сессию с ub1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/>
      </w:pPr>
      <w:r>
        <w:rPr/>
        <w:t>Выполнение работы.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Общая схема сети, иллюстрирующая необходимость организации переадресации, представлена на рис. 1.</w:t>
      </w:r>
    </w:p>
    <w:p>
      <w:pPr>
        <w:pStyle w:val="Standard"/>
        <w:jc w:val="center"/>
        <w:rPr>
          <w:lang w:eastAsia="ru-RU" w:bidi="ar-SA"/>
        </w:rPr>
      </w:pPr>
      <w:r>
        <w:rPr/>
        <mc:AlternateContent>
          <mc:Choice Requires="wps">
            <w:drawing>
              <wp:inline distT="0" distB="0" distL="0" distR="0">
                <wp:extent cx="5213350" cy="2432050"/>
                <wp:effectExtent l="0" t="0" r="0" b="0"/>
                <wp:docPr id="1" name="Рисунок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213520" cy="243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Рисунок 1" stroked="f" o:allowincell="f" style="position:absolute;margin-left:0pt;margin-top:-191.55pt;width:410.45pt;height:191.4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>Рисунок 1 – Общая схема сети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Реализация данной схемы проводилась в </w:t>
      </w:r>
      <w:r>
        <w:rPr>
          <w:lang w:val="en-US" w:eastAsia="ru-RU" w:bidi="ar-SA"/>
        </w:rPr>
        <w:t>VirtualBox</w:t>
      </w:r>
      <w:r>
        <w:rPr>
          <w:lang w:eastAsia="ru-RU" w:bidi="ar-SA"/>
        </w:rPr>
        <w:t>. Топологию требуемой инфраструктуры сети можно видеть на рис. 2.</w:t>
      </w:r>
    </w:p>
    <w:p>
      <w:pPr>
        <w:pStyle w:val="Standard"/>
        <w:jc w:val="center"/>
        <w:rPr>
          <w:lang w:eastAsia="ru-RU" w:bidi="ar-SA"/>
        </w:rPr>
      </w:pPr>
      <w:r>
        <w:rPr/>
        <mc:AlternateContent>
          <mc:Choice Requires="wps">
            <w:drawing>
              <wp:inline distT="0" distB="0" distL="0" distR="0">
                <wp:extent cx="4959350" cy="401955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959360" cy="401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16.55pt;width:390.45pt;height:316.45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Рисунок 2 – топология построения инфраструктуры в </w:t>
      </w:r>
      <w:r>
        <w:rPr>
          <w:lang w:val="en-US" w:eastAsia="ru-RU" w:bidi="ar-SA"/>
        </w:rPr>
        <w:t>VirtualBox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начале выполнения работы была создана и настроена инфраструктура сети: были развернуты три виртуальные машины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1,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 в </w:t>
      </w:r>
      <w:r>
        <w:rPr>
          <w:lang w:val="en-US" w:eastAsia="ru-RU" w:bidi="ar-SA"/>
        </w:rPr>
        <w:t>VirtualBox</w:t>
      </w:r>
      <w:r>
        <w:rPr>
          <w:lang w:eastAsia="ru-RU" w:bidi="ar-SA"/>
        </w:rPr>
        <w:t xml:space="preserve">. В качестве образа системы использовался </w:t>
      </w:r>
      <w:r>
        <w:rPr>
          <w:lang w:val="en-US" w:eastAsia="ru-RU" w:bidi="ar-SA"/>
        </w:rPr>
        <w:t>Ubuntu</w:t>
      </w:r>
      <w:r>
        <w:rPr>
          <w:lang w:eastAsia="ru-RU" w:bidi="ar-SA"/>
        </w:rPr>
        <w:t xml:space="preserve"> </w:t>
      </w:r>
      <w:r>
        <w:rPr>
          <w:lang w:val="en-US" w:eastAsia="ru-RU" w:bidi="ar-SA"/>
        </w:rPr>
        <w:t>Server</w:t>
      </w:r>
      <w:r>
        <w:rPr>
          <w:lang w:eastAsia="ru-RU" w:bidi="ar-SA"/>
        </w:rPr>
        <w:t xml:space="preserve"> 16.04.7. Были созданы внутренние сети </w:t>
      </w:r>
      <w:r>
        <w:rPr>
          <w:lang w:val="en-US" w:eastAsia="ru-RU" w:bidi="ar-SA"/>
        </w:rPr>
        <w:t>Intranet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Intranet</w:t>
      </w:r>
      <w:r>
        <w:rPr>
          <w:lang w:eastAsia="ru-RU" w:bidi="ar-SA"/>
        </w:rPr>
        <w:t xml:space="preserve">2,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1,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 были настроены сетевые адаптеры для внутренних сетей, а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 – и адаптер 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-сети для выхода в интернет средствами </w:t>
      </w:r>
      <w:r>
        <w:rPr>
          <w:lang w:val="en-US" w:eastAsia="ru-RU" w:bidi="ar-SA"/>
        </w:rPr>
        <w:t>VirtualBox</w:t>
      </w:r>
      <w:r>
        <w:rPr>
          <w:lang w:eastAsia="ru-RU" w:bidi="ar-SA"/>
        </w:rPr>
        <w:t>. Для уменьшения времени запуска на виртуальных машинах были выполнены следующие команды: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 mkdir -p /etc/systemd/system/networking.service.d/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 bash -c 'echo -e "[Service]\nTimeoutStartSec=20sec" &gt;  /etc/systemd/system/networking.service.d/timeout.conf'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</w:t>
      </w:r>
      <w:r>
        <w:rPr>
          <w:rFonts w:cs="Courier New" w:ascii="Courier New" w:hAnsi="Courier New"/>
          <w:sz w:val="24"/>
          <w:lang w:eastAsia="ru-RU" w:bidi="ar-SA"/>
        </w:rPr>
        <w:t xml:space="preserve"> </w:t>
      </w:r>
      <w:r>
        <w:rPr>
          <w:rFonts w:cs="Courier New" w:ascii="Courier New" w:hAnsi="Courier New"/>
          <w:sz w:val="24"/>
          <w:lang w:val="en-US" w:eastAsia="ru-RU" w:bidi="ar-SA"/>
        </w:rPr>
        <w:t>systemctl</w:t>
      </w:r>
      <w:r>
        <w:rPr>
          <w:rFonts w:cs="Courier New" w:ascii="Courier New" w:hAnsi="Courier New"/>
          <w:sz w:val="24"/>
          <w:lang w:eastAsia="ru-RU" w:bidi="ar-SA"/>
        </w:rPr>
        <w:t xml:space="preserve"> </w:t>
      </w:r>
      <w:r>
        <w:rPr>
          <w:rFonts w:cs="Courier New" w:ascii="Courier New" w:hAnsi="Courier New"/>
          <w:sz w:val="24"/>
          <w:lang w:val="en-US" w:eastAsia="ru-RU" w:bidi="ar-SA"/>
        </w:rPr>
        <w:t>daemon</w:t>
      </w:r>
      <w:r>
        <w:rPr>
          <w:rFonts w:cs="Courier New" w:ascii="Courier New" w:hAnsi="Courier New"/>
          <w:sz w:val="24"/>
          <w:lang w:eastAsia="ru-RU" w:bidi="ar-SA"/>
        </w:rPr>
        <w:t>-</w:t>
      </w:r>
      <w:r>
        <w:rPr>
          <w:rFonts w:cs="Courier New" w:ascii="Courier New" w:hAnsi="Courier New"/>
          <w:sz w:val="24"/>
          <w:lang w:val="en-US" w:eastAsia="ru-RU" w:bidi="ar-SA"/>
        </w:rPr>
        <w:t>reload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доступа в систему по </w:t>
      </w:r>
      <w:r>
        <w:rPr>
          <w:lang w:val="en-US" w:eastAsia="ru-RU" w:bidi="ar-SA"/>
        </w:rPr>
        <w:t>SSH</w:t>
      </w:r>
      <w:r>
        <w:rPr>
          <w:lang w:eastAsia="ru-RU" w:bidi="ar-SA"/>
        </w:rPr>
        <w:t xml:space="preserve"> на машины был установлен </w:t>
      </w:r>
      <w:r>
        <w:rPr>
          <w:lang w:val="en-US" w:eastAsia="ru-RU" w:bidi="ar-SA"/>
        </w:rPr>
        <w:t>ssh</w:t>
      </w:r>
      <w:r>
        <w:rPr>
          <w:lang w:eastAsia="ru-RU" w:bidi="ar-SA"/>
        </w:rPr>
        <w:t>-сервер.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Далее для всех сетевых интерфейсов виртуальных машин были настроены </w:t>
      </w:r>
      <w:r>
        <w:rPr>
          <w:lang w:val="en-US" w:eastAsia="ru-RU" w:bidi="ar-SA"/>
        </w:rPr>
        <w:t>IP</w:t>
      </w:r>
      <w:r>
        <w:rPr>
          <w:lang w:eastAsia="ru-RU" w:bidi="ar-SA"/>
        </w:rPr>
        <w:t xml:space="preserve">-адреса согласно схеме на рис. 2. Для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также в качестве шлюза по умолчанию был установлен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. Настройка </w:t>
      </w:r>
      <w:r>
        <w:rPr>
          <w:lang w:val="en-US" w:eastAsia="ru-RU" w:bidi="ar-SA"/>
        </w:rPr>
        <w:t>IP-</w:t>
      </w:r>
      <w:r>
        <w:rPr>
          <w:lang w:eastAsia="ru-RU" w:bidi="ar-SA"/>
        </w:rPr>
        <w:t xml:space="preserve">адреса </w:t>
      </w:r>
      <w:r>
        <w:rPr>
          <w:lang w:eastAsia="ru-RU" w:bidi="ar-SA"/>
        </w:rPr>
        <w:t>и установка шлюза по умолчанию</w:t>
      </w:r>
      <w:r>
        <w:rPr>
          <w:lang w:eastAsia="ru-RU" w:bidi="ar-SA"/>
        </w:rPr>
        <w:t xml:space="preserve"> на </w:t>
      </w:r>
      <w:r>
        <w:rPr>
          <w:lang w:val="en-US" w:eastAsia="ru-RU" w:bidi="ar-SA"/>
        </w:rPr>
        <w:t>ub</w:t>
      </w:r>
      <w:r>
        <w:rPr>
          <w:lang w:val="en-US" w:eastAsia="ru-RU" w:bidi="ar-SA"/>
        </w:rPr>
        <w:t>2</w:t>
      </w:r>
      <w:r>
        <w:rPr>
          <w:lang w:val="en-US" w:eastAsia="ru-RU" w:bidi="ar-SA"/>
        </w:rPr>
        <w:t xml:space="preserve"> </w:t>
      </w:r>
      <w:r>
        <w:rPr>
          <w:lang w:eastAsia="ru-RU" w:bidi="ar-SA"/>
        </w:rPr>
        <w:t>показано на рис. 3.</w:t>
      </w:r>
    </w:p>
    <w:p>
      <w:pPr>
        <w:pStyle w:val="Standard"/>
        <w:ind w:hanging="0" w:left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1704975"/>
            <wp:effectExtent l="0" t="0" r="0" b="0"/>
            <wp:wrapTopAndBottom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3 – настройка </w:t>
      </w:r>
      <w:r>
        <w:rPr>
          <w:lang w:val="en-US" w:eastAsia="ru-RU" w:bidi="ar-SA"/>
        </w:rPr>
        <w:t>IP</w:t>
      </w:r>
      <w:r>
        <w:rPr>
          <w:lang w:eastAsia="ru-RU" w:bidi="ar-SA"/>
        </w:rPr>
        <w:t xml:space="preserve">-адреса на </w:t>
      </w:r>
      <w:r>
        <w:rPr>
          <w:lang w:val="en-US" w:eastAsia="ru-RU" w:bidi="ar-SA"/>
        </w:rPr>
        <w:t>ub</w:t>
      </w:r>
      <w:r>
        <w:rPr>
          <w:lang w:val="en-US" w:eastAsia="ru-RU" w:bidi="ar-SA"/>
        </w:rPr>
        <w:t>2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возможности перенаправления трафика между сетевыми интерфейсами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 была включена соответствующая опция в </w:t>
      </w:r>
      <w:r>
        <w:rPr>
          <w:lang w:val="en-US" w:eastAsia="ru-RU" w:bidi="ar-SA"/>
        </w:rPr>
        <w:t>sysctl</w:t>
      </w:r>
      <w:r>
        <w:rPr>
          <w:lang w:val="en-US" w:eastAsia="ru-RU" w:bidi="ar-SA"/>
        </w:rPr>
        <w:t>(файл /etc/sysctl.conf)</w:t>
      </w:r>
      <w:r>
        <w:rPr>
          <w:lang w:eastAsia="ru-RU" w:bidi="ar-SA"/>
        </w:rPr>
        <w:t xml:space="preserve">, что проиллюстрировано на рис. 5 </w:t>
      </w:r>
      <w:r>
        <w:rPr>
          <w:lang w:eastAsia="ru-RU" w:bidi="ar-SA"/>
        </w:rPr>
        <w:t>и рис.6</w:t>
      </w:r>
      <w:r>
        <w:rPr>
          <w:lang w:eastAsia="ru-RU" w:bidi="ar-SA"/>
        </w:rPr>
        <w:t>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419100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 xml:space="preserve">Рисунок 5 – настройка перенаправления трафика на </w:t>
      </w:r>
      <w:r>
        <w:rPr>
          <w:lang w:val="en-US"/>
        </w:rPr>
        <w:t>ub</w:t>
      </w:r>
      <w:r>
        <w:rPr/>
        <w:t>-</w:t>
      </w:r>
      <w:r>
        <w:rPr>
          <w:lang w:val="en-US"/>
        </w:rPr>
        <w:t>nat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После выполненных настроек необходимо воссоздать условия сети, при которых маршрут от частной сети </w:t>
      </w:r>
      <w:r>
        <w:rPr>
          <w:lang w:val="en-US" w:eastAsia="ru-RU" w:bidi="ar-SA"/>
        </w:rPr>
        <w:t>Intranet</w:t>
      </w:r>
      <w:r>
        <w:rPr>
          <w:lang w:eastAsia="ru-RU" w:bidi="ar-SA"/>
        </w:rPr>
        <w:t xml:space="preserve">1 до </w:t>
      </w:r>
      <w:r>
        <w:rPr>
          <w:lang w:val="en-US" w:eastAsia="ru-RU" w:bidi="ar-SA"/>
        </w:rPr>
        <w:t>Intranet</w:t>
      </w:r>
      <w:r>
        <w:rPr>
          <w:lang w:eastAsia="ru-RU" w:bidi="ar-SA"/>
        </w:rPr>
        <w:t xml:space="preserve">2 известен маршрутизатору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, из-за чего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оказывается доступным с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1, что показано на рис. 6.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7750" cy="1981200"/>
            <wp:effectExtent l="0" t="0" r="0" b="0"/>
            <wp:wrapSquare wrapText="largest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6 – доступность </w:t>
      </w:r>
      <w:r>
        <w:rPr>
          <w:lang w:val="en-US"/>
        </w:rPr>
        <w:t>ub</w:t>
      </w:r>
      <w:r>
        <w:rPr/>
        <w:t xml:space="preserve">2 с </w:t>
      </w:r>
      <w:r>
        <w:rPr>
          <w:lang w:val="en-US"/>
        </w:rPr>
        <w:t>ub</w:t>
      </w:r>
      <w:r>
        <w:rPr/>
        <w:t>1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того чтобы симулировать более общий случай, при котором местоположение сети </w:t>
      </w:r>
      <w:r>
        <w:rPr>
          <w:lang w:val="en-US" w:eastAsia="ru-RU" w:bidi="ar-SA"/>
        </w:rPr>
        <w:t>Intranet</w:t>
      </w:r>
      <w:r>
        <w:rPr>
          <w:lang w:eastAsia="ru-RU" w:bidi="ar-SA"/>
        </w:rPr>
        <w:t xml:space="preserve">2 не известно,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1 был закрыт прямой доступ в соседнюю сеть:</w:t>
      </w:r>
    </w:p>
    <w:p>
      <w:pPr>
        <w:pStyle w:val="Standard"/>
        <w:rPr>
          <w:rFonts w:ascii="Courier New" w:hAnsi="Courier New" w:cs="Courier New"/>
          <w:sz w:val="24"/>
          <w:lang w:val="en-US"/>
        </w:rPr>
      </w:pPr>
      <w:r>
        <w:rPr>
          <w:rFonts w:cs="Courier New" w:ascii="Courier New" w:hAnsi="Courier New"/>
          <w:sz w:val="24"/>
          <w:lang w:val="en-US"/>
        </w:rPr>
        <w:t>iptables –A OUTPUT -d 10.0.0.0/24 –j DROP</w:t>
      </w:r>
    </w:p>
    <w:p>
      <w:pPr>
        <w:pStyle w:val="Standard"/>
        <w:rPr/>
      </w:pPr>
      <w:r>
        <w:rPr/>
        <w:t xml:space="preserve">Как видно на рис. 7, </w:t>
      </w:r>
      <w:r>
        <w:rPr>
          <w:lang w:val="en-US"/>
        </w:rPr>
        <w:t>ub</w:t>
      </w:r>
      <w:r>
        <w:rPr/>
        <w:t xml:space="preserve">2 теперь недоступен с </w:t>
      </w:r>
      <w:r>
        <w:rPr>
          <w:lang w:val="en-US"/>
        </w:rPr>
        <w:t>ub</w:t>
      </w:r>
      <w:r>
        <w:rPr/>
        <w:t>1.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2550" cy="1200150"/>
            <wp:effectExtent l="0" t="0" r="0" b="0"/>
            <wp:wrapSquare wrapText="largest"/>
            <wp:docPr id="8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7 – недоступность </w:t>
      </w:r>
      <w:r>
        <w:rPr>
          <w:lang w:val="en-US"/>
        </w:rPr>
        <w:t>ub</w:t>
      </w:r>
      <w:r>
        <w:rPr/>
        <w:t xml:space="preserve">2 с </w:t>
      </w:r>
      <w:r>
        <w:rPr>
          <w:lang w:val="en-US"/>
        </w:rPr>
        <w:t>ub</w:t>
      </w:r>
      <w:r>
        <w:rPr/>
        <w:t>1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Данные действия заканчивают воссоздание схемы сети, изображенной на рис. 2.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настройки доступа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к сети Интернет при помощи </w:t>
      </w:r>
      <w:r>
        <w:rPr>
          <w:lang w:val="en-US" w:eastAsia="ru-RU" w:bidi="ar-SA"/>
        </w:rPr>
        <w:t>MASQUERADE</w:t>
      </w:r>
      <w:r>
        <w:rPr>
          <w:lang w:eastAsia="ru-RU" w:bidi="ar-SA"/>
        </w:rPr>
        <w:t xml:space="preserve"> использовался </w:t>
      </w:r>
      <w:r>
        <w:rPr>
          <w:lang w:val="en-US" w:eastAsia="ru-RU" w:bidi="ar-SA"/>
        </w:rPr>
        <w:t>iptables</w:t>
      </w:r>
      <w:r>
        <w:rPr>
          <w:lang w:eastAsia="ru-RU" w:bidi="ar-SA"/>
        </w:rPr>
        <w:t>. Выполненную команду и результат настройки иллюстрирует рис. 8.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2015"/>
            <wp:effectExtent l="0" t="0" r="0" b="0"/>
            <wp:wrapSquare wrapText="largest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8 – настройка </w:t>
      </w:r>
      <w:r>
        <w:rPr>
          <w:lang w:val="en-US"/>
        </w:rPr>
        <w:t>MASQUERADE</w:t>
      </w:r>
      <w:r>
        <w:rPr/>
        <w:t xml:space="preserve"> на </w:t>
      </w:r>
      <w:r>
        <w:rPr>
          <w:lang w:val="en-US"/>
        </w:rPr>
        <w:t>ub</w:t>
      </w:r>
      <w:r>
        <w:rPr/>
        <w:t>-</w:t>
      </w:r>
      <w:r>
        <w:rPr>
          <w:lang w:val="en-US"/>
        </w:rPr>
        <w:t>nat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Доступность интернета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2 после данной настройки показана на рис. 9.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5055"/>
            <wp:effectExtent l="0" t="0" r="0" b="0"/>
            <wp:wrapSquare wrapText="largest"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9 – доступ к Интернету на </w:t>
      </w:r>
      <w:r>
        <w:rPr>
          <w:lang w:val="en-US"/>
        </w:rPr>
        <w:t>ub</w:t>
      </w:r>
      <w:r>
        <w:rPr/>
        <w:t xml:space="preserve">1 и </w:t>
      </w:r>
      <w:r>
        <w:rPr>
          <w:lang w:val="en-US"/>
        </w:rPr>
        <w:t>ub</w:t>
      </w:r>
      <w:r>
        <w:rPr/>
        <w:t xml:space="preserve">2 с </w:t>
      </w:r>
      <w:r>
        <w:rPr>
          <w:lang w:val="en-US"/>
        </w:rPr>
        <w:t>MASQUERADE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реализации доступа к Интернету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при помощи </w:t>
      </w:r>
      <w:r>
        <w:rPr>
          <w:lang w:val="en-US" w:eastAsia="ru-RU" w:bidi="ar-SA"/>
        </w:rPr>
        <w:t>sNAT</w:t>
      </w:r>
      <w:r>
        <w:rPr>
          <w:lang w:eastAsia="ru-RU" w:bidi="ar-SA"/>
        </w:rPr>
        <w:t xml:space="preserve"> сначала были сброшены настройки </w:t>
      </w:r>
      <w:r>
        <w:rPr>
          <w:lang w:val="en-US" w:eastAsia="ru-RU" w:bidi="ar-SA"/>
        </w:rPr>
        <w:t>iptables</w:t>
      </w:r>
      <w:r>
        <w:rPr>
          <w:lang w:eastAsia="ru-RU" w:bidi="ar-SA"/>
        </w:rPr>
        <w:t xml:space="preserve"> (рис. 10), а затем была настроена трансляция (рис. 11).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50085"/>
            <wp:effectExtent l="0" t="0" r="0" b="0"/>
            <wp:wrapSquare wrapText="largest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 xml:space="preserve">Рисунок 10 – сброс настроек </w:t>
      </w:r>
      <w:r>
        <w:rPr>
          <w:lang w:val="en-US"/>
        </w:rPr>
        <w:t>iptables</w:t>
      </w:r>
      <w:r>
        <w:rPr/>
        <w:t xml:space="preserve"> на </w:t>
      </w:r>
      <w:r>
        <w:rPr>
          <w:lang w:val="en-US"/>
        </w:rPr>
        <w:t>ub</w:t>
      </w:r>
      <w:r>
        <w:rPr/>
        <w:t>-</w:t>
      </w:r>
      <w:r>
        <w:rPr>
          <w:lang w:val="en-US"/>
        </w:rPr>
        <w:t>nat</w:t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66670"/>
            <wp:effectExtent l="0" t="0" r="0" b="0"/>
            <wp:wrapSquare wrapText="largest"/>
            <wp:docPr id="1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11 – настройка </w:t>
      </w:r>
      <w:r>
        <w:rPr>
          <w:lang w:val="en-US"/>
        </w:rPr>
        <w:t>sNAT</w:t>
      </w:r>
      <w:r>
        <w:rPr/>
        <w:t xml:space="preserve"> на </w:t>
      </w:r>
      <w:r>
        <w:rPr>
          <w:lang w:val="en-US"/>
        </w:rPr>
        <w:t>ub</w:t>
      </w:r>
      <w:r>
        <w:rPr/>
        <w:t>-</w:t>
      </w:r>
      <w:r>
        <w:rPr>
          <w:lang w:val="en-US"/>
        </w:rPr>
        <w:t>nat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Доступ к Интернету с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с помощью настроенного </w:t>
      </w:r>
      <w:r>
        <w:rPr>
          <w:lang w:val="en-US" w:eastAsia="ru-RU" w:bidi="ar-SA"/>
        </w:rPr>
        <w:t>sNAT</w:t>
      </w:r>
      <w:r>
        <w:rPr>
          <w:lang w:eastAsia="ru-RU" w:bidi="ar-SA"/>
        </w:rPr>
        <w:t xml:space="preserve">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-</w:t>
      </w:r>
      <w:r>
        <w:rPr>
          <w:lang w:val="en-US" w:eastAsia="ru-RU" w:bidi="ar-SA"/>
        </w:rPr>
        <w:t>nat</w:t>
      </w:r>
      <w:r>
        <w:rPr>
          <w:lang w:eastAsia="ru-RU" w:bidi="ar-SA"/>
        </w:rPr>
        <w:t xml:space="preserve"> демонстрирует рис. 12.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2850"/>
            <wp:effectExtent l="0" t="0" r="0" b="0"/>
            <wp:wrapSquare wrapText="largest"/>
            <wp:docPr id="13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12 – доступ к Интернету на </w:t>
      </w:r>
      <w:r>
        <w:rPr>
          <w:lang w:val="en-US"/>
        </w:rPr>
        <w:t>ub</w:t>
      </w:r>
      <w:r>
        <w:rPr/>
        <w:t xml:space="preserve">1 и </w:t>
      </w:r>
      <w:r>
        <w:rPr>
          <w:lang w:val="en-US"/>
        </w:rPr>
        <w:t>ub</w:t>
      </w:r>
      <w:r>
        <w:rPr/>
        <w:t xml:space="preserve">2 с настроенным </w:t>
      </w:r>
      <w:r>
        <w:rPr>
          <w:lang w:val="en-US"/>
        </w:rPr>
        <w:t>sNAT</w:t>
      </w:r>
      <w:r>
        <w:rPr/>
        <w:t>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настройки доступа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к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по </w:t>
      </w:r>
      <w:r>
        <w:rPr>
          <w:lang w:val="en-US" w:eastAsia="ru-RU" w:bidi="ar-SA"/>
        </w:rPr>
        <w:t>SSH</w:t>
      </w:r>
      <w:r>
        <w:rPr>
          <w:lang w:eastAsia="ru-RU" w:bidi="ar-SA"/>
        </w:rPr>
        <w:t xml:space="preserve"> был настроен </w:t>
      </w:r>
      <w:r>
        <w:rPr>
          <w:lang w:val="en-US" w:eastAsia="ru-RU" w:bidi="ar-SA"/>
        </w:rPr>
        <w:t>dNAT</w:t>
      </w:r>
      <w:r>
        <w:rPr>
          <w:lang w:eastAsia="ru-RU" w:bidi="ar-SA"/>
        </w:rPr>
        <w:t xml:space="preserve"> (рис. 13).</w:t>
      </w:r>
    </w:p>
    <w:p>
      <w:pPr>
        <w:pStyle w:val="Standard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12695"/>
            <wp:effectExtent l="0" t="0" r="0" b="0"/>
            <wp:wrapSquare wrapText="largest"/>
            <wp:docPr id="14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13 – настройка </w:t>
      </w:r>
      <w:r>
        <w:rPr>
          <w:lang w:val="en-US"/>
        </w:rPr>
        <w:t>dNAT</w:t>
      </w:r>
      <w:r>
        <w:rPr/>
        <w:t xml:space="preserve"> на </w:t>
      </w:r>
      <w:r>
        <w:rPr>
          <w:lang w:val="en-US"/>
        </w:rPr>
        <w:t>ub</w:t>
      </w:r>
      <w:r>
        <w:rPr/>
        <w:t>-</w:t>
      </w:r>
      <w:r>
        <w:rPr>
          <w:lang w:val="en-US"/>
        </w:rPr>
        <w:t>nat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Доступность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с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2 по вторичному </w:t>
      </w:r>
      <w:r>
        <w:rPr>
          <w:lang w:val="en-US" w:eastAsia="ru-RU" w:bidi="ar-SA"/>
        </w:rPr>
        <w:t>IP</w:t>
      </w:r>
      <w:r>
        <w:rPr>
          <w:lang w:eastAsia="ru-RU" w:bidi="ar-SA"/>
        </w:rPr>
        <w:t xml:space="preserve">-адресу при помощи </w:t>
      </w:r>
      <w:r>
        <w:rPr>
          <w:lang w:val="en-US" w:eastAsia="ru-RU" w:bidi="ar-SA"/>
        </w:rPr>
        <w:t>SSH</w:t>
      </w:r>
      <w:r>
        <w:rPr>
          <w:lang w:eastAsia="ru-RU" w:bidi="ar-SA"/>
        </w:rPr>
        <w:t xml:space="preserve"> показан на рис. 14.</w:t>
      </w:r>
    </w:p>
    <w:p>
      <w:pPr>
        <w:pStyle w:val="Standard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71945"/>
            <wp:effectExtent l="0" t="0" r="0" b="0"/>
            <wp:wrapSquare wrapText="largest"/>
            <wp:docPr id="15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14 – доступность </w:t>
      </w:r>
      <w:r>
        <w:rPr>
          <w:lang w:val="en-US"/>
        </w:rPr>
        <w:t>ub</w:t>
      </w:r>
      <w:r>
        <w:rPr/>
        <w:t xml:space="preserve">1 с </w:t>
      </w:r>
      <w:r>
        <w:rPr>
          <w:lang w:val="en-US"/>
        </w:rPr>
        <w:t>ub</w:t>
      </w:r>
      <w:r>
        <w:rPr/>
        <w:t xml:space="preserve">2 по </w:t>
      </w:r>
      <w:r>
        <w:rPr>
          <w:lang w:val="en-US"/>
        </w:rPr>
        <w:t>SSH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Выводы.</w:t>
      </w:r>
    </w:p>
    <w:p>
      <w:pPr>
        <w:pStyle w:val="Standard"/>
        <w:rPr>
          <w:rFonts w:eastAsia="DengXian"/>
        </w:rPr>
      </w:pPr>
      <w:r>
        <w:rPr/>
        <w:t xml:space="preserve">В результате выполнения лабораторной работы были изучены </w:t>
      </w:r>
      <w:r>
        <w:rPr>
          <w:rFonts w:hint="eastAsia"/>
        </w:rPr>
        <w:t>механизм</w:t>
      </w:r>
      <w:r>
        <w:rPr>
          <w:rFonts w:eastAsia="DengXian"/>
        </w:rPr>
        <w:t xml:space="preserve">ы </w:t>
      </w:r>
      <w:r>
        <w:rPr>
          <w:rFonts w:hint="eastAsia"/>
        </w:rPr>
        <w:t>преобразования сетевых</w:t>
      </w:r>
      <w:r>
        <w:rPr>
          <w:b/>
          <w:bCs/>
        </w:rPr>
        <w:t xml:space="preserve"> </w:t>
      </w:r>
      <w:r>
        <w:rPr>
          <w:rFonts w:hint="eastAsia"/>
        </w:rPr>
        <w:t xml:space="preserve">адресов: NAT, Masquerade. </w:t>
      </w:r>
      <w:r>
        <w:rPr>
          <w:rFonts w:eastAsia="DengXian"/>
        </w:rPr>
        <w:t xml:space="preserve">Были изучены </w:t>
      </w:r>
      <w:r>
        <w:rPr/>
        <w:t>сетевые</w:t>
      </w:r>
      <w:r>
        <w:rPr>
          <w:b/>
          <w:bCs/>
        </w:rPr>
        <w:t xml:space="preserve"> </w:t>
      </w:r>
      <w:r>
        <w:rPr/>
        <w:t xml:space="preserve">возможности VirtualBox, с помощью которых была создана и настроена инфраструктура сетевого взаимодействия. Были развернуты три виртуальные машины, была проведена их настройка. Согласно схеме топологии сети, на машинах были настроены механизмы преобразование сетевых адресов </w:t>
      </w:r>
      <w:r>
        <w:rPr>
          <w:lang w:val="en-US"/>
        </w:rPr>
        <w:t>NAT</w:t>
      </w:r>
      <w:r>
        <w:rPr/>
        <w:t xml:space="preserve"> и </w:t>
      </w:r>
      <w:r>
        <w:rPr>
          <w:lang w:val="en-US"/>
        </w:rPr>
        <w:t>MASQUERADE</w:t>
      </w:r>
      <w:r>
        <w:rPr/>
        <w:t>.</w:t>
      </w:r>
    </w:p>
    <w:p>
      <w:pPr>
        <w:pStyle w:val="Standard"/>
        <w:rPr/>
      </w:pPr>
      <w:r>
        <w:rPr/>
      </w:r>
    </w:p>
    <w:p>
      <w:pPr>
        <w:pStyle w:val="Textbody"/>
        <w:rPr/>
      </w:pPr>
      <w:r>
        <w:rPr/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36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Style13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Style13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Style13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2" w:customStyle="1">
    <w:name w:val="Символ нумерации"/>
    <w:qFormat/>
    <w:rPr/>
  </w:style>
  <w:style w:type="character" w:styleId="Hyperlink">
    <w:name w:val="Hyperlink"/>
    <w:uiPriority w:val="99"/>
    <w:unhideWhenUsed/>
    <w:rsid w:val="00aa373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qFormat/>
    <w:rsid w:val="00aa3734"/>
    <w:rPr>
      <w:color w:val="605E5C"/>
      <w:shd w:fill="E1DFDD" w:val="clear"/>
    </w:rPr>
  </w:style>
  <w:style w:type="paragraph" w:styleId="Style13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Style14" w:customStyle="1">
    <w:name w:val="Указатель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ru-RU"/>
    </w:rPr>
  </w:style>
  <w:style w:type="paragraph" w:styleId="Textbody" w:customStyle="1">
    <w:name w:val="Text body"/>
    <w:basedOn w:val="Standard"/>
    <w:qFormat/>
    <w:pPr/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5" w:customStyle="1">
    <w:name w:val="Содержимое таблицы"/>
    <w:basedOn w:val="Standard"/>
    <w:qFormat/>
    <w:pPr>
      <w:suppressLineNumbers/>
    </w:pPr>
    <w:rPr/>
  </w:style>
  <w:style w:type="paragraph" w:styleId="Style16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>
      <w:lang w:eastAsia="en-US"/>
    </w:rPr>
  </w:style>
  <w:style w:type="paragraph" w:styleId="Style17" w:customStyle="1">
    <w:name w:val="Заголовок таблицы"/>
    <w:basedOn w:val="Style15"/>
    <w:qFormat/>
    <w:pPr>
      <w:jc w:val="center"/>
    </w:pPr>
    <w:rPr>
      <w:b/>
      <w:bCs/>
    </w:rPr>
  </w:style>
  <w:style w:type="paragraph" w:styleId="Style18" w:customStyle="1">
    <w:name w:val="Таблица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Style19" w:customStyle="1">
    <w:name w:val="Рисунок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Style20">
    <w:name w:val="Колонтитулы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 w:customStyle="1">
    <w:name w:val="Содержимое врезки"/>
    <w:basedOn w:val="Standard"/>
    <w:qFormat/>
    <w:pPr/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e0017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4AA9F-6BD1-4D5A-9D05-669F2A044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Application>LibreOffice/25.8.3.2$Linux_X86_64 LibreOffice_project/580$Build-2</Application>
  <AppVersion>15.0000</AppVersion>
  <Pages>11</Pages>
  <Words>912</Words>
  <Characters>5660</Characters>
  <CharactersWithSpaces>6517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2024-03-03T11:53:00Z</dcterms:created>
  <dc:creator>Microsoft Office User</dc:creator>
  <dc:description/>
  <dc:language>ru-RU</dc:language>
  <cp:lastModifiedBy/>
  <dcterms:modified xsi:type="dcterms:W3CDTF">2025-12-03T03:46:51Z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