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val="1"/>
      </w:pPr>
      <w:r>
        <w:t>Synthetic ITSM Data Generator User Guide</w:t>
      </w:r>
    </w:p>
    <w:p>
      <w:pPr>
        <w:pStyle w:val="Subtitle"/>
        <w:widowControl w:val="1"/>
      </w:pPr>
      <w:r>
        <w:t>How to preview generate inspect and reuse fictional ServiceNow test data</w:t>
      </w:r>
    </w:p>
    <w:p>
      <w:pPr>
        <w:widowControl w:val="1"/>
      </w:pPr>
    </w:p>
    <w:p>
      <w:pPr>
        <w:widowControl w:val="1"/>
      </w:pPr>
      <w:r>
        <w:t>The Synthetic ITSM Dataset Generator is a Langflow component that creates fictional Incident, Change Request, or Service Request records with an OpenAI-compatible language model. This guide shows an end user how to configure the component, preview its prompt without making a model call, generate a small dataset, inspect the outputs, and correct common errors.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cantSplit w:val="true"/>
          <w:tblHeader w:val="true"/>
        </w:trPr>
        <w:tc>
          <w:tcPr>
            <w:tcW w:type="dxa" w:w="4464"/>
            <w:vAlign w:val="center"/>
            <w:shd w:fill="17365D"/>
            <w:tcMar>
              <w:top w:w="105" w:type="dxa"/>
              <w:start w:w="125" w:type="dxa"/>
              <w:bottom w:w="105" w:type="dxa"/>
              <w:end w:w="125" w:type="dxa"/>
            </w:tcMar>
          </w:tcPr>
          <w:p>
            <w:r>
              <w:rPr>
                <w:b/>
                <w:color w:val="FFFFFF"/>
              </w:rPr>
              <w:t>Start with</w:t>
            </w:r>
          </w:p>
        </w:tc>
        <w:tc>
          <w:tcPr>
            <w:tcW w:type="dxa" w:w="5328"/>
            <w:vAlign w:val="center"/>
            <w:shd w:fill="17365D"/>
            <w:tcMar>
              <w:top w:w="105" w:type="dxa"/>
              <w:start w:w="125" w:type="dxa"/>
              <w:bottom w:w="105" w:type="dxa"/>
              <w:end w:w="125" w:type="dxa"/>
            </w:tcMar>
          </w:tcPr>
          <w:p>
            <w:r>
              <w:rPr>
                <w:b/>
                <w:color w:val="FFFFFF"/>
              </w:rPr>
              <w:t>Finish with</w:t>
            </w:r>
          </w:p>
        </w:tc>
      </w:tr>
      <w:tr>
        <w:trPr>
          <w:cantSplit w:val="true"/>
        </w:trPr>
        <w:tc>
          <w:tcPr>
            <w:tcW w:type="dxa" w:w="4464"/>
            <w:vAlign w:val="center"/>
            <w:tcMar>
              <w:top w:w="105" w:type="dxa"/>
              <w:start w:w="125" w:type="dxa"/>
              <w:bottom w:w="105" w:type="dxa"/>
              <w:end w:w="125" w:type="dxa"/>
            </w:tcMar>
          </w:tcPr>
          <w:p>
            <w:r>
              <w:t>The importable flow in this repository</w:t>
            </w:r>
          </w:p>
        </w:tc>
        <w:tc>
          <w:tcPr>
            <w:tcW w:type="dxa" w:w="5328"/>
            <w:vAlign w:val="center"/>
            <w:tcMar>
              <w:top w:w="105" w:type="dxa"/>
              <w:start w:w="125" w:type="dxa"/>
              <w:bottom w:w="105" w:type="dxa"/>
              <w:end w:w="125" w:type="dxa"/>
            </w:tcMar>
          </w:tcPr>
          <w:p>
            <w:r>
              <w:t>A generated table or JSON dataset ready for approved testing</w:t>
            </w:r>
          </w:p>
        </w:tc>
      </w:tr>
      <w:tr>
        <w:trPr>
          <w:cantSplit w:val="true"/>
        </w:trPr>
        <w:tc>
          <w:tcPr>
            <w:tcW w:type="dxa" w:w="4464"/>
            <w:vAlign w:val="center"/>
            <w:tcMar>
              <w:top w:w="105" w:type="dxa"/>
              <w:start w:w="125" w:type="dxa"/>
              <w:bottom w:w="105" w:type="dxa"/>
              <w:end w:w="125" w:type="dxa"/>
            </w:tcMar>
            <w:shd w:fill="F5F7F9"/>
          </w:tcPr>
          <w:p>
            <w:r>
              <w:t>Dry Run enabled</w:t>
            </w:r>
          </w:p>
        </w:tc>
        <w:tc>
          <w:tcPr>
            <w:tcW w:type="dxa" w:w="5328"/>
            <w:vAlign w:val="center"/>
            <w:tcMar>
              <w:top w:w="105" w:type="dxa"/>
              <w:start w:w="125" w:type="dxa"/>
              <w:bottom w:w="105" w:type="dxa"/>
              <w:end w:w="125" w:type="dxa"/>
            </w:tcMar>
            <w:shd w:fill="F5F7F9"/>
          </w:tcPr>
          <w:p>
            <w:r>
              <w:t>A reviewed prompt and configuration before model usage</w:t>
            </w:r>
          </w:p>
        </w:tc>
      </w:tr>
      <w:tr>
        <w:trPr>
          <w:cantSplit w:val="true"/>
        </w:trPr>
        <w:tc>
          <w:tcPr>
            <w:tcW w:type="dxa" w:w="4464"/>
            <w:vAlign w:val="center"/>
            <w:tcMar>
              <w:top w:w="105" w:type="dxa"/>
              <w:start w:w="125" w:type="dxa"/>
              <w:bottom w:w="105" w:type="dxa"/>
              <w:end w:w="125" w:type="dxa"/>
            </w:tcMar>
          </w:tcPr>
          <w:p>
            <w:r>
              <w:t>A small record count</w:t>
            </w:r>
          </w:p>
        </w:tc>
        <w:tc>
          <w:tcPr>
            <w:tcW w:type="dxa" w:w="5328"/>
            <w:vAlign w:val="center"/>
            <w:tcMar>
              <w:top w:w="105" w:type="dxa"/>
              <w:start w:w="125" w:type="dxa"/>
              <w:bottom w:w="105" w:type="dxa"/>
              <w:end w:w="125" w:type="dxa"/>
            </w:tcMar>
          </w:tcPr>
          <w:p>
            <w:r>
              <w:t>A checked sample before a larger generation run</w:t>
            </w:r>
          </w:p>
        </w:tc>
      </w:tr>
    </w:tbl>
    <w:p>
      <w:pPr>
        <w:spacing w:after="0"/>
        <w:widowControl w:val="1"/>
      </w:pPr>
    </w:p>
    <w:p>
      <w:pPr>
        <w:ind w:left="288" w:right="288"/>
        <w:widowControl w:val="1"/>
      </w:pPr>
      <w:r>
        <w:rPr>
          <w:b/>
        </w:rPr>
        <w:t xml:space="preserve">Important </w:t>
      </w:r>
      <w:r>
        <w:t>The output is synthetic test data. Do not treat it as a copy of production data or as evidence of real ServiceNow activity.</w:t>
      </w:r>
    </w:p>
    <w:p>
      <w:pPr>
        <w:widowControl w:val="1"/>
      </w:pPr>
      <w:r>
        <w:br w:type="page"/>
      </w:r>
    </w:p>
    <w:p>
      <w:pPr>
        <w:pStyle w:val="Heading1"/>
        <w:keepNext/>
        <w:widowControl w:val="1"/>
      </w:pPr>
      <w:r>
        <w:t>Contents</w:t>
      </w:r>
    </w:p>
    <w:p>
      <w:pPr>
        <w:widowControl w:val="1"/>
      </w:pPr>
      <w:r>
        <w:t>1  Understand what the generator does</w:t>
      </w:r>
    </w:p>
    <w:p>
      <w:pPr>
        <w:widowControl w:val="1"/>
      </w:pPr>
      <w:r>
        <w:t>2  Import and open the tool</w:t>
      </w:r>
    </w:p>
    <w:p>
      <w:pPr>
        <w:widowControl w:val="1"/>
      </w:pPr>
      <w:r>
        <w:t>3  Follow the safe operating sequence</w:t>
      </w:r>
    </w:p>
    <w:p>
      <w:pPr>
        <w:widowControl w:val="1"/>
      </w:pPr>
      <w:r>
        <w:t>4  Choose the record type</w:t>
      </w:r>
    </w:p>
    <w:p>
      <w:pPr>
        <w:widowControl w:val="1"/>
      </w:pPr>
      <w:r>
        <w:t>5  Configure the main settings</w:t>
      </w:r>
    </w:p>
    <w:p>
      <w:pPr>
        <w:widowControl w:val="1"/>
      </w:pPr>
      <w:r>
        <w:t>6  Control data quality and variety</w:t>
      </w:r>
    </w:p>
    <w:p>
      <w:pPr>
        <w:widowControl w:val="1"/>
      </w:pPr>
      <w:r>
        <w:t>7  Use sanitized reference examples</w:t>
      </w:r>
    </w:p>
    <w:p>
      <w:pPr>
        <w:widowControl w:val="1"/>
      </w:pPr>
      <w:r>
        <w:t>8  Choose continuity or speed</w:t>
      </w:r>
    </w:p>
    <w:p>
      <w:pPr>
        <w:widowControl w:val="1"/>
      </w:pPr>
      <w:r>
        <w:t>9  Read and use the outputs</w:t>
      </w:r>
    </w:p>
    <w:p>
      <w:pPr>
        <w:widowControl w:val="1"/>
      </w:pPr>
      <w:r>
        <w:t>10 Create a custom schema</w:t>
      </w:r>
    </w:p>
    <w:p>
      <w:pPr>
        <w:widowControl w:val="1"/>
      </w:pPr>
      <w:r>
        <w:t>11 Troubleshoot generation</w:t>
      </w:r>
    </w:p>
    <w:p>
      <w:pPr>
        <w:widowControl w:val="1"/>
      </w:pPr>
      <w:r>
        <w:t>12 Complete the final checks</w:t>
      </w:r>
    </w:p>
    <w:p>
      <w:pPr>
        <w:pStyle w:val="Heading2"/>
        <w:keepNext/>
        <w:widowControl w:val="1"/>
      </w:pPr>
      <w:r>
        <w:t>Quick start</w:t>
      </w:r>
    </w:p>
    <w:p>
      <w:pPr>
        <w:spacing w:after="60"/>
        <w:ind w:left="403" w:hanging="288"/>
        <w:widowControl w:val="1"/>
      </w:pPr>
      <w:r>
        <w:rPr>
          <w:b/>
        </w:rPr>
        <w:t xml:space="preserve">1. </w:t>
      </w:r>
      <w:r>
        <w:t>Import servicenow_synthetic_dataset_generator.json into a Langflow project.</w:t>
      </w:r>
    </w:p>
    <w:p>
      <w:pPr>
        <w:spacing w:after="60"/>
        <w:ind w:left="403" w:hanging="288"/>
        <w:widowControl w:val="1"/>
      </w:pPr>
      <w:r>
        <w:rPr>
          <w:b/>
        </w:rPr>
        <w:t xml:space="preserve">2. </w:t>
      </w:r>
      <w:r>
        <w:t>Open the Synthetic ITSM Dataset Generator component.</w:t>
      </w:r>
    </w:p>
    <w:p>
      <w:pPr>
        <w:spacing w:after="60"/>
        <w:ind w:left="403" w:hanging="288"/>
        <w:widowControl w:val="1"/>
      </w:pPr>
      <w:r>
        <w:rPr>
          <w:b/>
        </w:rPr>
        <w:t xml:space="preserve">3. </w:t>
      </w:r>
      <w:r>
        <w:t>Keep Dry Run enabled and choose a record type.</w:t>
      </w:r>
    </w:p>
    <w:p>
      <w:pPr>
        <w:spacing w:after="60"/>
        <w:ind w:left="403" w:hanging="288"/>
        <w:widowControl w:val="1"/>
      </w:pPr>
      <w:r>
        <w:rPr>
          <w:b/>
        </w:rPr>
        <w:t xml:space="preserve">4. </w:t>
      </w:r>
      <w:r>
        <w:t>Set Number of Records to 5 and run the component.</w:t>
      </w:r>
    </w:p>
    <w:p>
      <w:pPr>
        <w:spacing w:after="60"/>
        <w:ind w:left="403" w:hanging="288"/>
        <w:widowControl w:val="1"/>
      </w:pPr>
      <w:r>
        <w:rPr>
          <w:b/>
        </w:rPr>
        <w:t xml:space="preserve">5. </w:t>
      </w:r>
      <w:r>
        <w:t>Read Generation Summary and Prompt Preview.</w:t>
      </w:r>
    </w:p>
    <w:p>
      <w:pPr>
        <w:spacing w:after="60"/>
        <w:ind w:left="403" w:hanging="288"/>
        <w:widowControl w:val="1"/>
      </w:pPr>
      <w:r>
        <w:rPr>
          <w:b/>
        </w:rPr>
        <w:t xml:space="preserve">6. </w:t>
      </w:r>
      <w:r>
        <w:t>Configure the endpoint, API key, and model.</w:t>
      </w:r>
    </w:p>
    <w:p>
      <w:pPr>
        <w:spacing w:after="60"/>
        <w:ind w:left="403" w:hanging="288"/>
        <w:widowControl w:val="1"/>
      </w:pPr>
      <w:r>
        <w:rPr>
          <w:b/>
        </w:rPr>
        <w:t xml:space="preserve">7. </w:t>
      </w:r>
      <w:r>
        <w:t>Disable Dry Run and run again.</w:t>
      </w:r>
    </w:p>
    <w:p>
      <w:pPr>
        <w:spacing w:after="60"/>
        <w:ind w:left="403" w:hanging="288"/>
        <w:widowControl w:val="1"/>
      </w:pPr>
      <w:r>
        <w:rPr>
          <w:b/>
        </w:rPr>
        <w:t xml:space="preserve">8. </w:t>
      </w:r>
      <w:r>
        <w:t>Inspect Dataset DataFrame before increasing the record count.</w:t>
      </w:r>
    </w:p>
    <w:p>
      <w:pPr>
        <w:widowControl w:val="1"/>
      </w:pPr>
      <w:r>
        <w:br w:type="page"/>
      </w:r>
    </w:p>
    <w:p>
      <w:pPr>
        <w:pStyle w:val="Heading1"/>
        <w:keepNext/>
        <w:widowControl w:val="1"/>
      </w:pPr>
      <w:r>
        <w:t>1 Understand what the generator does</w:t>
      </w:r>
    </w:p>
    <w:p>
      <w:pPr>
        <w:widowControl w:val="1"/>
      </w:pPr>
      <w:r>
        <w:t>The component converts your configuration into a structured prompt, sends that prompt to an OpenAI-compatible language model, parses the returned JSON, removes exact duplicate records, and returns the completed dataset through several Langflow outputs. It can split a large request into smaller calls and retry when the model returns too few unique records.</w:t>
      </w:r>
    </w:p>
    <w:p>
      <w:pPr>
        <w:pStyle w:val="Heading2"/>
        <w:keepNext/>
        <w:widowControl w:val="1"/>
      </w:pPr>
      <w:r>
        <w:t>The generation path</w:t>
      </w:r>
    </w:p>
    <w:p>
      <w:pPr>
        <w:pStyle w:val="Code"/>
        <w:widowControl w:val="1"/>
      </w:pPr>
      <w:r>
        <w:t>Settings  -&gt;  prompt preview  -&gt;  model calls  -&gt;  JSON parsing  -&gt;  duplicate removal  -&gt;  outputs</w:t>
      </w:r>
    </w:p>
    <w:p>
      <w:pPr>
        <w:widowControl w:val="1"/>
      </w:pPr>
      <w:r>
        <w:t>The prompt asks the model to create fictional records that follow the selected schema and remain internally consistent. For example, a resolved incident should have resolution information, and a change end date should follow its start date.</w:t>
      </w:r>
    </w:p>
    <w:p>
      <w:pPr>
        <w:pStyle w:val="Heading2"/>
        <w:keepNext/>
        <w:widowControl w:val="1"/>
      </w:pPr>
      <w:r>
        <w:t>What the tool checks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cantSplit w:val="true"/>
          <w:tblHeader w:val="true"/>
        </w:trPr>
        <w:tc>
          <w:tcPr>
            <w:tcW w:type="dxa" w:w="2304"/>
            <w:vAlign w:val="center"/>
            <w:shd w:fill="17365D"/>
            <w:tcMar>
              <w:top w:w="105" w:type="dxa"/>
              <w:start w:w="125" w:type="dxa"/>
              <w:bottom w:w="105" w:type="dxa"/>
              <w:end w:w="125" w:type="dxa"/>
            </w:tcMar>
          </w:tcPr>
          <w:p>
            <w:r>
              <w:rPr>
                <w:b/>
                <w:color w:val="FFFFFF"/>
              </w:rPr>
              <w:t>Check</w:t>
            </w:r>
          </w:p>
        </w:tc>
        <w:tc>
          <w:tcPr>
            <w:tcW w:type="dxa" w:w="7488"/>
            <w:vAlign w:val="center"/>
            <w:shd w:fill="17365D"/>
            <w:tcMar>
              <w:top w:w="105" w:type="dxa"/>
              <w:start w:w="125" w:type="dxa"/>
              <w:bottom w:w="105" w:type="dxa"/>
              <w:end w:w="125" w:type="dxa"/>
            </w:tcMar>
          </w:tcPr>
          <w:p>
            <w:r>
              <w:rPr>
                <w:b/>
                <w:color w:val="FFFFFF"/>
              </w:rPr>
              <w:t>Behavior</w:t>
            </w:r>
          </w:p>
        </w:tc>
      </w:tr>
      <w:tr>
        <w:trPr>
          <w:cantSplit w:val="true"/>
        </w:trPr>
        <w:tc>
          <w:tcPr>
            <w:tcW w:type="dxa" w:w="2304"/>
            <w:vAlign w:val="center"/>
            <w:tcMar>
              <w:top w:w="105" w:type="dxa"/>
              <w:start w:w="125" w:type="dxa"/>
              <w:bottom w:w="105" w:type="dxa"/>
              <w:end w:w="125" w:type="dxa"/>
            </w:tcMar>
          </w:tcPr>
          <w:p>
            <w:r>
              <w:t>Configuration</w:t>
            </w:r>
          </w:p>
        </w:tc>
        <w:tc>
          <w:tcPr>
            <w:tcW w:type="dxa" w:w="7488"/>
            <w:vAlign w:val="center"/>
            <w:tcMar>
              <w:top w:w="105" w:type="dxa"/>
              <w:start w:w="125" w:type="dxa"/>
              <w:bottom w:w="105" w:type="dxa"/>
              <w:end w:w="125" w:type="dxa"/>
            </w:tcMar>
          </w:tcPr>
          <w:p>
            <w:r>
              <w:t>Requires at least one requested record and a valid nonempty field definition list</w:t>
            </w:r>
          </w:p>
        </w:tc>
      </w:tr>
      <w:tr>
        <w:trPr>
          <w:cantSplit w:val="true"/>
        </w:trPr>
        <w:tc>
          <w:tcPr>
            <w:tcW w:type="dxa" w:w="2304"/>
            <w:vAlign w:val="center"/>
            <w:tcMar>
              <w:top w:w="105" w:type="dxa"/>
              <w:start w:w="125" w:type="dxa"/>
              <w:bottom w:w="105" w:type="dxa"/>
              <w:end w:w="125" w:type="dxa"/>
            </w:tcMar>
            <w:shd w:fill="F5F7F9"/>
          </w:tcPr>
          <w:p>
            <w:r>
              <w:t>Reference examples</w:t>
            </w:r>
          </w:p>
        </w:tc>
        <w:tc>
          <w:tcPr>
            <w:tcW w:type="dxa" w:w="7488"/>
            <w:vAlign w:val="center"/>
            <w:tcMar>
              <w:top w:w="105" w:type="dxa"/>
              <w:start w:w="125" w:type="dxa"/>
              <w:bottom w:w="105" w:type="dxa"/>
              <w:end w:w="125" w:type="dxa"/>
            </w:tcMar>
            <w:shd w:fill="F5F7F9"/>
          </w:tcPr>
          <w:p>
            <w:r>
              <w:t>Requires valid JSON in either a record array or grouped object format</w:t>
            </w:r>
          </w:p>
        </w:tc>
      </w:tr>
      <w:tr>
        <w:trPr>
          <w:cantSplit w:val="true"/>
        </w:trPr>
        <w:tc>
          <w:tcPr>
            <w:tcW w:type="dxa" w:w="2304"/>
            <w:vAlign w:val="center"/>
            <w:tcMar>
              <w:top w:w="105" w:type="dxa"/>
              <w:start w:w="125" w:type="dxa"/>
              <w:bottom w:w="105" w:type="dxa"/>
              <w:end w:w="125" w:type="dxa"/>
            </w:tcMar>
          </w:tcPr>
          <w:p>
            <w:r>
              <w:t>Model response</w:t>
            </w:r>
          </w:p>
        </w:tc>
        <w:tc>
          <w:tcPr>
            <w:tcW w:type="dxa" w:w="7488"/>
            <w:vAlign w:val="center"/>
            <w:tcMar>
              <w:top w:w="105" w:type="dxa"/>
              <w:start w:w="125" w:type="dxa"/>
              <w:bottom w:w="105" w:type="dxa"/>
              <w:end w:w="125" w:type="dxa"/>
            </w:tcMar>
          </w:tcPr>
          <w:p>
            <w:r>
              <w:t>Requires JSON containing a records array or a directly returned array</w:t>
            </w:r>
          </w:p>
        </w:tc>
      </w:tr>
      <w:tr>
        <w:trPr>
          <w:cantSplit w:val="true"/>
        </w:trPr>
        <w:tc>
          <w:tcPr>
            <w:tcW w:type="dxa" w:w="2304"/>
            <w:vAlign w:val="center"/>
            <w:tcMar>
              <w:top w:w="105" w:type="dxa"/>
              <w:start w:w="125" w:type="dxa"/>
              <w:bottom w:w="105" w:type="dxa"/>
              <w:end w:w="125" w:type="dxa"/>
            </w:tcMar>
            <w:shd w:fill="F5F7F9"/>
          </w:tcPr>
          <w:p>
            <w:r>
              <w:t>Duplicates</w:t>
            </w:r>
          </w:p>
        </w:tc>
        <w:tc>
          <w:tcPr>
            <w:tcW w:type="dxa" w:w="7488"/>
            <w:vAlign w:val="center"/>
            <w:tcMar>
              <w:top w:w="105" w:type="dxa"/>
              <w:start w:w="125" w:type="dxa"/>
              <w:bottom w:w="105" w:type="dxa"/>
              <w:end w:w="125" w:type="dxa"/>
            </w:tcMar>
            <w:shd w:fill="F5F7F9"/>
          </w:tcPr>
          <w:p>
            <w:r>
              <w:t>Removes records that are exact duplicates when serialized</w:t>
            </w:r>
          </w:p>
        </w:tc>
      </w:tr>
      <w:tr>
        <w:trPr>
          <w:cantSplit w:val="true"/>
        </w:trPr>
        <w:tc>
          <w:tcPr>
            <w:tcW w:type="dxa" w:w="2304"/>
            <w:vAlign w:val="center"/>
            <w:tcMar>
              <w:top w:w="105" w:type="dxa"/>
              <w:start w:w="125" w:type="dxa"/>
              <w:bottom w:w="105" w:type="dxa"/>
              <w:end w:w="125" w:type="dxa"/>
            </w:tcMar>
          </w:tcPr>
          <w:p>
            <w:r>
              <w:t>Short result</w:t>
            </w:r>
          </w:p>
        </w:tc>
        <w:tc>
          <w:tcPr>
            <w:tcW w:type="dxa" w:w="7488"/>
            <w:vAlign w:val="center"/>
            <w:tcMar>
              <w:top w:w="105" w:type="dxa"/>
              <w:start w:w="125" w:type="dxa"/>
              <w:bottom w:w="105" w:type="dxa"/>
              <w:end w:w="125" w:type="dxa"/>
            </w:tcMar>
          </w:tcPr>
          <w:p>
            <w:r>
              <w:t>Makes up to three additional generation attempts for missing unique records</w:t>
            </w:r>
          </w:p>
        </w:tc>
      </w:tr>
    </w:tbl>
    <w:p>
      <w:pPr>
        <w:spacing w:after="0"/>
        <w:widowControl w:val="1"/>
      </w:pPr>
    </w:p>
    <w:p>
      <w:pPr>
        <w:ind w:left="288" w:right="288"/>
        <w:widowControl w:val="1"/>
      </w:pPr>
      <w:r>
        <w:rPr>
          <w:b/>
        </w:rPr>
        <w:t xml:space="preserve">Quality limit </w:t>
      </w:r>
      <w:r>
        <w:t>The component checks basic structure and uniqueness. You must still review field values, distributions, relationships, and realism before using the dataset in an evaluation.</w:t>
      </w:r>
    </w:p>
    <w:p>
      <w:pPr>
        <w:pStyle w:val="Heading1"/>
        <w:keepNext/>
        <w:widowControl w:val="1"/>
      </w:pPr>
      <w:r>
        <w:t>2 Import and open the tool</w:t>
      </w:r>
    </w:p>
    <w:p>
      <w:pPr>
        <w:spacing w:after="60"/>
        <w:ind w:left="403" w:hanging="288"/>
        <w:widowControl w:val="1"/>
      </w:pPr>
      <w:r>
        <w:rPr>
          <w:b/>
        </w:rPr>
        <w:t xml:space="preserve">1. </w:t>
      </w:r>
      <w:r>
        <w:t>Open Langflow and enter the project where you want to keep the flow.</w:t>
      </w:r>
    </w:p>
    <w:p>
      <w:pPr>
        <w:spacing w:after="60"/>
        <w:ind w:left="403" w:hanging="288"/>
        <w:widowControl w:val="1"/>
      </w:pPr>
      <w:r>
        <w:rPr>
          <w:b/>
        </w:rPr>
        <w:t xml:space="preserve">2. </w:t>
      </w:r>
      <w:r>
        <w:t>Choose Upload flow or Import.</w:t>
      </w:r>
    </w:p>
    <w:p>
      <w:pPr>
        <w:spacing w:after="60"/>
        <w:ind w:left="403" w:hanging="288"/>
        <w:widowControl w:val="1"/>
      </w:pPr>
      <w:r>
        <w:rPr>
          <w:b/>
        </w:rPr>
        <w:t xml:space="preserve">3. </w:t>
      </w:r>
      <w:r>
        <w:t>Select servicenow_synthetic_dataset_generator.json from this repository.</w:t>
      </w:r>
    </w:p>
    <w:p>
      <w:pPr>
        <w:spacing w:after="60"/>
        <w:ind w:left="403" w:hanging="288"/>
        <w:widowControl w:val="1"/>
      </w:pPr>
      <w:r>
        <w:rPr>
          <w:b/>
        </w:rPr>
        <w:t xml:space="preserve">4. </w:t>
      </w:r>
      <w:r>
        <w:t>Open the imported flow and select the Synthetic ITSM Dataset Generator component.</w:t>
      </w:r>
    </w:p>
    <w:p>
      <w:pPr>
        <w:spacing w:after="60"/>
        <w:ind w:left="403" w:hanging="288"/>
        <w:widowControl w:val="1"/>
      </w:pPr>
      <w:r>
        <w:rPr>
          <w:b/>
        </w:rPr>
        <w:t xml:space="preserve">5. </w:t>
      </w:r>
      <w:r>
        <w:t>Confirm that Dry Run is enabled before changing credentials or generating data.</w:t>
      </w:r>
    </w:p>
    <w:p>
      <w:pPr>
        <w:widowControl w:val="1"/>
      </w:pPr>
      <w:r>
        <w:t>If the flow imports with warnings, compare the Langflow version and installed component dependencies with the environment where the flow was created.</w:t>
      </w:r>
    </w:p>
    <w:p>
      <w:pPr>
        <w:pStyle w:val="Heading1"/>
        <w:keepNext/>
        <w:widowControl w:val="1"/>
      </w:pPr>
      <w:r>
        <w:t>3 Follow the safe operating sequence</w:t>
      </w:r>
    </w:p>
    <w:p>
      <w:pPr>
        <w:pStyle w:val="Heading2"/>
        <w:keepNext/>
        <w:widowControl w:val="1"/>
      </w:pPr>
      <w:r>
        <w:t>Stage one Preview</w:t>
      </w:r>
    </w:p>
    <w:p>
      <w:pPr>
        <w:widowControl w:val="1"/>
      </w:pPr>
      <w:r>
        <w:t>Dry Run validates the configuration and builds the prompt without reading credentials or calling the language model. Use it every time you change the schema, examples, goal, context, or scenario mix.</w:t>
      </w:r>
    </w:p>
    <w:p>
      <w:pPr>
        <w:spacing w:after="60"/>
        <w:ind w:left="403" w:hanging="288"/>
        <w:widowControl w:val="1"/>
      </w:pPr>
      <w:r>
        <w:rPr>
          <w:b/>
        </w:rPr>
        <w:t xml:space="preserve">1. </w:t>
      </w:r>
      <w:r>
        <w:t>Leave Dry Run enabled.</w:t>
      </w:r>
    </w:p>
    <w:p>
      <w:pPr>
        <w:spacing w:after="60"/>
        <w:ind w:left="403" w:hanging="288"/>
        <w:widowControl w:val="1"/>
      </w:pPr>
      <w:r>
        <w:rPr>
          <w:b/>
        </w:rPr>
        <w:t xml:space="preserve">2. </w:t>
      </w:r>
      <w:r>
        <w:t>Choose the record type and set a small Number of Records.</w:t>
      </w:r>
    </w:p>
    <w:p>
      <w:pPr>
        <w:spacing w:after="60"/>
        <w:ind w:left="403" w:hanging="288"/>
        <w:widowControl w:val="1"/>
      </w:pPr>
      <w:r>
        <w:rPr>
          <w:b/>
        </w:rPr>
        <w:t xml:space="preserve">3. </w:t>
      </w:r>
      <w:r>
        <w:t>Adjust the goal, context, scenarios, and optional examples.</w:t>
      </w:r>
    </w:p>
    <w:p>
      <w:pPr>
        <w:spacing w:after="60"/>
        <w:ind w:left="403" w:hanging="288"/>
        <w:widowControl w:val="1"/>
      </w:pPr>
      <w:r>
        <w:rPr>
          <w:b/>
        </w:rPr>
        <w:t xml:space="preserve">4. </w:t>
      </w:r>
      <w:r>
        <w:t>Run the component.</w:t>
      </w:r>
    </w:p>
    <w:p>
      <w:pPr>
        <w:spacing w:after="60"/>
        <w:ind w:left="403" w:hanging="288"/>
        <w:widowControl w:val="1"/>
      </w:pPr>
      <w:r>
        <w:rPr>
          <w:b/>
        </w:rPr>
        <w:t xml:space="preserve">5. </w:t>
      </w:r>
      <w:r>
        <w:t>Read Generation Summary, then inspect Prompt Preview for unwanted data or instructions.</w:t>
      </w:r>
    </w:p>
    <w:p>
      <w:pPr>
        <w:pStyle w:val="Heading2"/>
        <w:keepNext/>
        <w:widowControl w:val="1"/>
      </w:pPr>
      <w:r>
        <w:t>Stage two Generate a small sample</w:t>
      </w:r>
    </w:p>
    <w:p>
      <w:pPr>
        <w:spacing w:after="60"/>
        <w:ind w:left="403" w:hanging="288"/>
        <w:widowControl w:val="1"/>
      </w:pPr>
      <w:r>
        <w:rPr>
          <w:b/>
        </w:rPr>
        <w:t xml:space="preserve">1. </w:t>
      </w:r>
      <w:r>
        <w:t>Enter the OpenAI-compatible Base URL and API Key, or confirm that the server environment supplies them.</w:t>
      </w:r>
    </w:p>
    <w:p>
      <w:pPr>
        <w:spacing w:after="60"/>
        <w:ind w:left="403" w:hanging="288"/>
        <w:widowControl w:val="1"/>
      </w:pPr>
      <w:r>
        <w:rPr>
          <w:b/>
        </w:rPr>
        <w:t xml:space="preserve">2. </w:t>
      </w:r>
      <w:r>
        <w:t>Confirm the Model Name.</w:t>
      </w:r>
    </w:p>
    <w:p>
      <w:pPr>
        <w:spacing w:after="60"/>
        <w:ind w:left="403" w:hanging="288"/>
        <w:widowControl w:val="1"/>
      </w:pPr>
      <w:r>
        <w:rPr>
          <w:b/>
        </w:rPr>
        <w:t xml:space="preserve">3. </w:t>
      </w:r>
      <w:r>
        <w:t>Set Number of Records to 5 or 10.</w:t>
      </w:r>
    </w:p>
    <w:p>
      <w:pPr>
        <w:spacing w:after="60"/>
        <w:ind w:left="403" w:hanging="288"/>
        <w:widowControl w:val="1"/>
      </w:pPr>
      <w:r>
        <w:rPr>
          <w:b/>
        </w:rPr>
        <w:t xml:space="preserve">4. </w:t>
      </w:r>
      <w:r>
        <w:t>Disable Dry Run and run the component.</w:t>
      </w:r>
    </w:p>
    <w:p>
      <w:pPr>
        <w:spacing w:after="60"/>
        <w:ind w:left="403" w:hanging="288"/>
        <w:widowControl w:val="1"/>
      </w:pPr>
      <w:r>
        <w:rPr>
          <w:b/>
        </w:rPr>
        <w:t xml:space="preserve">5. </w:t>
      </w:r>
      <w:r>
        <w:t>Inspect the DataFrame and JSON outputs for missing, inconsistent, or repetitive values.</w:t>
      </w:r>
    </w:p>
    <w:p>
      <w:pPr>
        <w:pStyle w:val="Heading2"/>
        <w:keepNext/>
        <w:widowControl w:val="1"/>
      </w:pPr>
      <w:r>
        <w:t>Stage three Scale carefully</w:t>
      </w:r>
    </w:p>
    <w:p>
      <w:pPr>
        <w:widowControl w:val="1"/>
      </w:pPr>
      <w:r>
        <w:t>Increase the record count only after a small sample passes review. Larger datasets can use more model time and tokens, and they make errors harder to diagnose.</w:t>
      </w:r>
    </w:p>
    <w:p>
      <w:pPr>
        <w:pStyle w:val="Heading1"/>
        <w:keepNext/>
        <w:widowControl w:val="1"/>
      </w:pPr>
      <w:r>
        <w:t>4 Choose the record type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cantSplit w:val="true"/>
          <w:tblHeader w:val="true"/>
        </w:trPr>
        <w:tc>
          <w:tcPr>
            <w:tcW w:type="dxa" w:w="2088"/>
            <w:vAlign w:val="center"/>
            <w:shd w:fill="17365D"/>
            <w:tcMar>
              <w:top w:w="105" w:type="dxa"/>
              <w:start w:w="125" w:type="dxa"/>
              <w:bottom w:w="105" w:type="dxa"/>
              <w:end w:w="125" w:type="dxa"/>
            </w:tcMar>
          </w:tcPr>
          <w:p>
            <w:r>
              <w:rPr>
                <w:b/>
                <w:color w:val="FFFFFF"/>
              </w:rPr>
              <w:t>Record Type</w:t>
            </w:r>
          </w:p>
        </w:tc>
        <w:tc>
          <w:tcPr>
            <w:tcW w:type="dxa" w:w="2088"/>
            <w:vAlign w:val="center"/>
            <w:shd w:fill="17365D"/>
            <w:tcMar>
              <w:top w:w="105" w:type="dxa"/>
              <w:start w:w="125" w:type="dxa"/>
              <w:bottom w:w="105" w:type="dxa"/>
              <w:end w:w="125" w:type="dxa"/>
            </w:tcMar>
          </w:tcPr>
          <w:p>
            <w:r>
              <w:rPr>
                <w:b/>
                <w:color w:val="FFFFFF"/>
              </w:rPr>
              <w:t>Table name</w:t>
            </w:r>
          </w:p>
        </w:tc>
        <w:tc>
          <w:tcPr>
            <w:tcW w:type="dxa" w:w="5616"/>
            <w:vAlign w:val="center"/>
            <w:shd w:fill="17365D"/>
            <w:tcMar>
              <w:top w:w="105" w:type="dxa"/>
              <w:start w:w="125" w:type="dxa"/>
              <w:bottom w:w="105" w:type="dxa"/>
              <w:end w:w="125" w:type="dxa"/>
            </w:tcMar>
          </w:tcPr>
          <w:p>
            <w:r>
              <w:rPr>
                <w:b/>
                <w:color w:val="FFFFFF"/>
              </w:rPr>
              <w:t>Typical content</w:t>
            </w:r>
          </w:p>
        </w:tc>
      </w:tr>
      <w:tr>
        <w:trPr>
          <w:cantSplit w:val="true"/>
        </w:trPr>
        <w:tc>
          <w:tcPr>
            <w:tcW w:type="dxa" w:w="2088"/>
            <w:vAlign w:val="center"/>
            <w:tcMar>
              <w:top w:w="105" w:type="dxa"/>
              <w:start w:w="125" w:type="dxa"/>
              <w:bottom w:w="105" w:type="dxa"/>
              <w:end w:w="125" w:type="dxa"/>
            </w:tcMar>
          </w:tcPr>
          <w:p>
            <w:r>
              <w:t>Incident</w:t>
            </w:r>
          </w:p>
        </w:tc>
        <w:tc>
          <w:tcPr>
            <w:tcW w:type="dxa" w:w="2088"/>
            <w:vAlign w:val="center"/>
            <w:tcMar>
              <w:top w:w="105" w:type="dxa"/>
              <w:start w:w="125" w:type="dxa"/>
              <w:bottom w:w="105" w:type="dxa"/>
              <w:end w:w="125" w:type="dxa"/>
            </w:tcMar>
          </w:tcPr>
          <w:p>
            <w:r>
              <w:t>incident</w:t>
            </w:r>
          </w:p>
        </w:tc>
        <w:tc>
          <w:tcPr>
            <w:tcW w:type="dxa" w:w="5616"/>
            <w:vAlign w:val="center"/>
            <w:tcMar>
              <w:top w:w="105" w:type="dxa"/>
              <w:start w:w="125" w:type="dxa"/>
              <w:bottom w:w="105" w:type="dxa"/>
              <w:end w:w="125" w:type="dxa"/>
            </w:tcMar>
          </w:tcPr>
          <w:p>
            <w:r>
              <w:t>Symptoms, impact, urgency, priority, category, assignment, state, and resolution</w:t>
            </w:r>
          </w:p>
        </w:tc>
      </w:tr>
      <w:tr>
        <w:trPr>
          <w:cantSplit w:val="true"/>
        </w:trPr>
        <w:tc>
          <w:tcPr>
            <w:tcW w:type="dxa" w:w="2088"/>
            <w:vAlign w:val="center"/>
            <w:tcMar>
              <w:top w:w="105" w:type="dxa"/>
              <w:start w:w="125" w:type="dxa"/>
              <w:bottom w:w="105" w:type="dxa"/>
              <w:end w:w="125" w:type="dxa"/>
            </w:tcMar>
            <w:shd w:fill="F5F7F9"/>
          </w:tcPr>
          <w:p>
            <w:r>
              <w:t>Change Request</w:t>
            </w:r>
          </w:p>
        </w:tc>
        <w:tc>
          <w:tcPr>
            <w:tcW w:type="dxa" w:w="2088"/>
            <w:vAlign w:val="center"/>
            <w:tcMar>
              <w:top w:w="105" w:type="dxa"/>
              <w:start w:w="125" w:type="dxa"/>
              <w:bottom w:w="105" w:type="dxa"/>
              <w:end w:w="125" w:type="dxa"/>
            </w:tcMar>
            <w:shd w:fill="F5F7F9"/>
          </w:tcPr>
          <w:p>
            <w:r>
              <w:t>change_request</w:t>
            </w:r>
          </w:p>
        </w:tc>
        <w:tc>
          <w:tcPr>
            <w:tcW w:type="dxa" w:w="5616"/>
            <w:vAlign w:val="center"/>
            <w:tcMar>
              <w:top w:w="105" w:type="dxa"/>
              <w:start w:w="125" w:type="dxa"/>
              <w:bottom w:w="105" w:type="dxa"/>
              <w:end w:w="125" w:type="dxa"/>
            </w:tcMar>
            <w:shd w:fill="F5F7F9"/>
          </w:tcPr>
          <w:p>
            <w:r>
              <w:t>Risk, impact, schedule, approvals, implementation, rollback, test plan, and outcome</w:t>
            </w:r>
          </w:p>
        </w:tc>
      </w:tr>
      <w:tr>
        <w:trPr>
          <w:cantSplit w:val="true"/>
        </w:trPr>
        <w:tc>
          <w:tcPr>
            <w:tcW w:type="dxa" w:w="2088"/>
            <w:vAlign w:val="center"/>
            <w:tcMar>
              <w:top w:w="105" w:type="dxa"/>
              <w:start w:w="125" w:type="dxa"/>
              <w:bottom w:w="105" w:type="dxa"/>
              <w:end w:w="125" w:type="dxa"/>
            </w:tcMar>
          </w:tcPr>
          <w:p>
            <w:r>
              <w:t>Service Request</w:t>
            </w:r>
          </w:p>
        </w:tc>
        <w:tc>
          <w:tcPr>
            <w:tcW w:type="dxa" w:w="2088"/>
            <w:vAlign w:val="center"/>
            <w:tcMar>
              <w:top w:w="105" w:type="dxa"/>
              <w:start w:w="125" w:type="dxa"/>
              <w:bottom w:w="105" w:type="dxa"/>
              <w:end w:w="125" w:type="dxa"/>
            </w:tcMar>
          </w:tcPr>
          <w:p>
            <w:r>
              <w:t>sc_request</w:t>
            </w:r>
          </w:p>
        </w:tc>
        <w:tc>
          <w:tcPr>
            <w:tcW w:type="dxa" w:w="5616"/>
            <w:vAlign w:val="center"/>
            <w:tcMar>
              <w:top w:w="105" w:type="dxa"/>
              <w:start w:w="125" w:type="dxa"/>
              <w:bottom w:w="105" w:type="dxa"/>
              <w:end w:w="125" w:type="dxa"/>
            </w:tcMar>
          </w:tcPr>
          <w:p>
            <w:r>
              <w:t>Catalog need, approval, priority, fulfillment group, delivery stage, quantity, and price</w:t>
            </w:r>
          </w:p>
        </w:tc>
      </w:tr>
      <w:tr>
        <w:trPr>
          <w:cantSplit w:val="true"/>
        </w:trPr>
        <w:tc>
          <w:tcPr>
            <w:tcW w:type="dxa" w:w="2088"/>
            <w:vAlign w:val="center"/>
            <w:tcMar>
              <w:top w:w="105" w:type="dxa"/>
              <w:start w:w="125" w:type="dxa"/>
              <w:bottom w:w="105" w:type="dxa"/>
              <w:end w:w="125" w:type="dxa"/>
            </w:tcMar>
            <w:shd w:fill="F5F7F9"/>
          </w:tcPr>
          <w:p>
            <w:r>
              <w:t>Custom</w:t>
            </w:r>
          </w:p>
        </w:tc>
        <w:tc>
          <w:tcPr>
            <w:tcW w:type="dxa" w:w="2088"/>
            <w:vAlign w:val="center"/>
            <w:tcMar>
              <w:top w:w="105" w:type="dxa"/>
              <w:start w:w="125" w:type="dxa"/>
              <w:bottom w:w="105" w:type="dxa"/>
              <w:end w:w="125" w:type="dxa"/>
            </w:tcMar>
            <w:shd w:fill="F5F7F9"/>
          </w:tcPr>
          <w:p>
            <w:r>
              <w:t>Entered by the user</w:t>
            </w:r>
          </w:p>
        </w:tc>
        <w:tc>
          <w:tcPr>
            <w:tcW w:type="dxa" w:w="5616"/>
            <w:vAlign w:val="center"/>
            <w:tcMar>
              <w:top w:w="105" w:type="dxa"/>
              <w:start w:w="125" w:type="dxa"/>
              <w:bottom w:w="105" w:type="dxa"/>
              <w:end w:w="125" w:type="dxa"/>
            </w:tcMar>
            <w:shd w:fill="F5F7F9"/>
          </w:tcPr>
          <w:p>
            <w:r>
              <w:t>Any approved domain described by a custom field definition list</w:t>
            </w:r>
          </w:p>
        </w:tc>
      </w:tr>
    </w:tbl>
    <w:p>
      <w:pPr>
        <w:spacing w:after="0"/>
        <w:widowControl w:val="1"/>
      </w:pPr>
    </w:p>
    <w:p>
      <w:pPr>
        <w:widowControl w:val="1"/>
      </w:pPr>
      <w:r>
        <w:t>Selecting a built-in record type updates the table name, field definitions, test goal, dataset context, and scenario guidance. The built-in schema is protected during generation. Select Custom before editing Table Name or Field Definitions.</w:t>
      </w:r>
    </w:p>
    <w:p>
      <w:pPr>
        <w:pStyle w:val="Heading2"/>
        <w:keepNext/>
        <w:widowControl w:val="1"/>
      </w:pPr>
      <w:r>
        <w:t>Ground truth fields</w:t>
      </w:r>
    </w:p>
    <w:p>
      <w:pPr>
        <w:widowControl w:val="1"/>
      </w:pPr>
      <w:r>
        <w:t>Fields beginning with an underscore, such as _test_scenario or _expected_assignment_group, store labels that can be hidden from an agent and later used to score its predictions. Keep these fields separate from the fields shown to the system under test.</w:t>
      </w:r>
    </w:p>
    <w:p>
      <w:pPr>
        <w:pStyle w:val="Heading1"/>
        <w:keepNext/>
        <w:widowControl w:val="1"/>
      </w:pPr>
      <w:r>
        <w:t>5 Configure the main settings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cantSplit w:val="true"/>
          <w:tblHeader w:val="true"/>
        </w:trPr>
        <w:tc>
          <w:tcPr>
            <w:tcW w:type="dxa" w:w="2520"/>
            <w:vAlign w:val="center"/>
            <w:shd w:fill="17365D"/>
            <w:tcMar>
              <w:top w:w="105" w:type="dxa"/>
              <w:start w:w="125" w:type="dxa"/>
              <w:bottom w:w="105" w:type="dxa"/>
              <w:end w:w="125" w:type="dxa"/>
            </w:tcMar>
          </w:tcPr>
          <w:p>
            <w:r>
              <w:rPr>
                <w:b/>
                <w:color w:val="FFFFFF"/>
              </w:rPr>
              <w:t>Setting</w:t>
            </w:r>
          </w:p>
        </w:tc>
        <w:tc>
          <w:tcPr>
            <w:tcW w:type="dxa" w:w="3960"/>
            <w:vAlign w:val="center"/>
            <w:shd w:fill="17365D"/>
            <w:tcMar>
              <w:top w:w="105" w:type="dxa"/>
              <w:start w:w="125" w:type="dxa"/>
              <w:bottom w:w="105" w:type="dxa"/>
              <w:end w:w="125" w:type="dxa"/>
            </w:tcMar>
          </w:tcPr>
          <w:p>
            <w:r>
              <w:rPr>
                <w:b/>
                <w:color w:val="FFFFFF"/>
              </w:rPr>
              <w:t>What it controls</w:t>
            </w:r>
          </w:p>
        </w:tc>
        <w:tc>
          <w:tcPr>
            <w:tcW w:type="dxa" w:w="3312"/>
            <w:vAlign w:val="center"/>
            <w:shd w:fill="17365D"/>
            <w:tcMar>
              <w:top w:w="105" w:type="dxa"/>
              <w:start w:w="125" w:type="dxa"/>
              <w:bottom w:w="105" w:type="dxa"/>
              <w:end w:w="125" w:type="dxa"/>
            </w:tcMar>
          </w:tcPr>
          <w:p>
            <w:r>
              <w:rPr>
                <w:b/>
                <w:color w:val="FFFFFF"/>
              </w:rPr>
              <w:t>Beginner guidance</w:t>
            </w:r>
          </w:p>
        </w:tc>
      </w:tr>
      <w:tr>
        <w:trPr>
          <w:cantSplit w:val="true"/>
        </w:trPr>
        <w:tc>
          <w:tcPr>
            <w:tcW w:type="dxa" w:w="2520"/>
            <w:vAlign w:val="center"/>
            <w:tcMar>
              <w:top w:w="105" w:type="dxa"/>
              <w:start w:w="125" w:type="dxa"/>
              <w:bottom w:w="105" w:type="dxa"/>
              <w:end w:w="125" w:type="dxa"/>
            </w:tcMar>
          </w:tcPr>
          <w:p>
            <w:r>
              <w:t>Dry Run</w:t>
            </w:r>
          </w:p>
        </w:tc>
        <w:tc>
          <w:tcPr>
            <w:tcW w:type="dxa" w:w="3960"/>
            <w:vAlign w:val="center"/>
            <w:tcMar>
              <w:top w:w="105" w:type="dxa"/>
              <w:start w:w="125" w:type="dxa"/>
              <w:bottom w:w="105" w:type="dxa"/>
              <w:end w:w="125" w:type="dxa"/>
            </w:tcMar>
          </w:tcPr>
          <w:p>
            <w:r>
              <w:t>Whether the component previews or calls the model</w:t>
            </w:r>
          </w:p>
        </w:tc>
        <w:tc>
          <w:tcPr>
            <w:tcW w:type="dxa" w:w="3312"/>
            <w:vAlign w:val="center"/>
            <w:tcMar>
              <w:top w:w="105" w:type="dxa"/>
              <w:start w:w="125" w:type="dxa"/>
              <w:bottom w:w="105" w:type="dxa"/>
              <w:end w:w="125" w:type="dxa"/>
            </w:tcMar>
          </w:tcPr>
          <w:p>
            <w:r>
              <w:t>Keep enabled until the prompt and configuration are reviewed</w:t>
            </w:r>
          </w:p>
        </w:tc>
      </w:tr>
      <w:tr>
        <w:trPr>
          <w:cantSplit w:val="true"/>
        </w:trPr>
        <w:tc>
          <w:tcPr>
            <w:tcW w:type="dxa" w:w="2520"/>
            <w:vAlign w:val="center"/>
            <w:tcMar>
              <w:top w:w="105" w:type="dxa"/>
              <w:start w:w="125" w:type="dxa"/>
              <w:bottom w:w="105" w:type="dxa"/>
              <w:end w:w="125" w:type="dxa"/>
            </w:tcMar>
            <w:shd w:fill="F5F7F9"/>
          </w:tcPr>
          <w:p>
            <w:r>
              <w:t>Record Type</w:t>
            </w:r>
          </w:p>
        </w:tc>
        <w:tc>
          <w:tcPr>
            <w:tcW w:type="dxa" w:w="3960"/>
            <w:vAlign w:val="center"/>
            <w:tcMar>
              <w:top w:w="105" w:type="dxa"/>
              <w:start w:w="125" w:type="dxa"/>
              <w:bottom w:w="105" w:type="dxa"/>
              <w:end w:w="125" w:type="dxa"/>
            </w:tcMar>
            <w:shd w:fill="F5F7F9"/>
          </w:tcPr>
          <w:p>
            <w:r>
              <w:t>The built-in or custom schema</w:t>
            </w:r>
          </w:p>
        </w:tc>
        <w:tc>
          <w:tcPr>
            <w:tcW w:type="dxa" w:w="3312"/>
            <w:vAlign w:val="center"/>
            <w:tcMar>
              <w:top w:w="105" w:type="dxa"/>
              <w:start w:w="125" w:type="dxa"/>
              <w:bottom w:w="105" w:type="dxa"/>
              <w:end w:w="125" w:type="dxa"/>
            </w:tcMar>
            <w:shd w:fill="F5F7F9"/>
          </w:tcPr>
          <w:p>
            <w:r>
              <w:t>Start with Incident</w:t>
            </w:r>
          </w:p>
        </w:tc>
      </w:tr>
      <w:tr>
        <w:trPr>
          <w:cantSplit w:val="true"/>
        </w:trPr>
        <w:tc>
          <w:tcPr>
            <w:tcW w:type="dxa" w:w="2520"/>
            <w:vAlign w:val="center"/>
            <w:tcMar>
              <w:top w:w="105" w:type="dxa"/>
              <w:start w:w="125" w:type="dxa"/>
              <w:bottom w:w="105" w:type="dxa"/>
              <w:end w:w="125" w:type="dxa"/>
            </w:tcMar>
          </w:tcPr>
          <w:p>
            <w:r>
              <w:t>Base URL</w:t>
            </w:r>
          </w:p>
        </w:tc>
        <w:tc>
          <w:tcPr>
            <w:tcW w:type="dxa" w:w="3960"/>
            <w:vAlign w:val="center"/>
            <w:tcMar>
              <w:top w:w="105" w:type="dxa"/>
              <w:start w:w="125" w:type="dxa"/>
              <w:bottom w:w="105" w:type="dxa"/>
              <w:end w:w="125" w:type="dxa"/>
            </w:tcMar>
          </w:tcPr>
          <w:p>
            <w:r>
              <w:t>The OpenAI-compatible API endpoint</w:t>
            </w:r>
          </w:p>
        </w:tc>
        <w:tc>
          <w:tcPr>
            <w:tcW w:type="dxa" w:w="3312"/>
            <w:vAlign w:val="center"/>
            <w:tcMar>
              <w:top w:w="105" w:type="dxa"/>
              <w:start w:w="125" w:type="dxa"/>
              <w:bottom w:w="105" w:type="dxa"/>
              <w:end w:w="125" w:type="dxa"/>
            </w:tcMar>
          </w:tcPr>
          <w:p>
            <w:r>
              <w:t>Leave blank only when the server environment provides it</w:t>
            </w:r>
          </w:p>
        </w:tc>
      </w:tr>
      <w:tr>
        <w:trPr>
          <w:cantSplit w:val="true"/>
        </w:trPr>
        <w:tc>
          <w:tcPr>
            <w:tcW w:type="dxa" w:w="2520"/>
            <w:vAlign w:val="center"/>
            <w:tcMar>
              <w:top w:w="105" w:type="dxa"/>
              <w:start w:w="125" w:type="dxa"/>
              <w:bottom w:w="105" w:type="dxa"/>
              <w:end w:w="125" w:type="dxa"/>
            </w:tcMar>
            <w:shd w:fill="F5F7F9"/>
          </w:tcPr>
          <w:p>
            <w:r>
              <w:t>API Key</w:t>
            </w:r>
          </w:p>
        </w:tc>
        <w:tc>
          <w:tcPr>
            <w:tcW w:type="dxa" w:w="3960"/>
            <w:vAlign w:val="center"/>
            <w:tcMar>
              <w:top w:w="105" w:type="dxa"/>
              <w:start w:w="125" w:type="dxa"/>
              <w:bottom w:w="105" w:type="dxa"/>
              <w:end w:w="125" w:type="dxa"/>
            </w:tcMar>
            <w:shd w:fill="F5F7F9"/>
          </w:tcPr>
          <w:p>
            <w:r>
              <w:t>Authentication for the endpoint</w:t>
            </w:r>
          </w:p>
        </w:tc>
        <w:tc>
          <w:tcPr>
            <w:tcW w:type="dxa" w:w="3312"/>
            <w:vAlign w:val="center"/>
            <w:tcMar>
              <w:top w:w="105" w:type="dxa"/>
              <w:start w:w="125" w:type="dxa"/>
              <w:bottom w:w="105" w:type="dxa"/>
              <w:end w:w="125" w:type="dxa"/>
            </w:tcMar>
            <w:shd w:fill="F5F7F9"/>
          </w:tcPr>
          <w:p>
            <w:r>
              <w:t>Use the approved secret and never place it in examples or source control</w:t>
            </w:r>
          </w:p>
        </w:tc>
      </w:tr>
      <w:tr>
        <w:trPr>
          <w:cantSplit w:val="true"/>
        </w:trPr>
        <w:tc>
          <w:tcPr>
            <w:tcW w:type="dxa" w:w="2520"/>
            <w:vAlign w:val="center"/>
            <w:tcMar>
              <w:top w:w="105" w:type="dxa"/>
              <w:start w:w="125" w:type="dxa"/>
              <w:bottom w:w="105" w:type="dxa"/>
              <w:end w:w="125" w:type="dxa"/>
            </w:tcMar>
          </w:tcPr>
          <w:p>
            <w:r>
              <w:t>Model Name</w:t>
            </w:r>
          </w:p>
        </w:tc>
        <w:tc>
          <w:tcPr>
            <w:tcW w:type="dxa" w:w="3960"/>
            <w:vAlign w:val="center"/>
            <w:tcMar>
              <w:top w:w="105" w:type="dxa"/>
              <w:start w:w="125" w:type="dxa"/>
              <w:bottom w:w="105" w:type="dxa"/>
              <w:end w:w="125" w:type="dxa"/>
            </w:tcMar>
          </w:tcPr>
          <w:p>
            <w:r>
              <w:t>The model served by the endpoint</w:t>
            </w:r>
          </w:p>
        </w:tc>
        <w:tc>
          <w:tcPr>
            <w:tcW w:type="dxa" w:w="3312"/>
            <w:vAlign w:val="center"/>
            <w:tcMar>
              <w:top w:w="105" w:type="dxa"/>
              <w:start w:w="125" w:type="dxa"/>
              <w:bottom w:w="105" w:type="dxa"/>
              <w:end w:w="125" w:type="dxa"/>
            </w:tcMar>
          </w:tcPr>
          <w:p>
            <w:r>
              <w:t>The imported flow defaults to gpt-oss-120b</w:t>
            </w:r>
          </w:p>
        </w:tc>
      </w:tr>
      <w:tr>
        <w:trPr>
          <w:cantSplit w:val="true"/>
        </w:trPr>
        <w:tc>
          <w:tcPr>
            <w:tcW w:type="dxa" w:w="2520"/>
            <w:vAlign w:val="center"/>
            <w:tcMar>
              <w:top w:w="105" w:type="dxa"/>
              <w:start w:w="125" w:type="dxa"/>
              <w:bottom w:w="105" w:type="dxa"/>
              <w:end w:w="125" w:type="dxa"/>
            </w:tcMar>
            <w:shd w:fill="F5F7F9"/>
          </w:tcPr>
          <w:p>
            <w:r>
              <w:t>Number of Records</w:t>
            </w:r>
          </w:p>
        </w:tc>
        <w:tc>
          <w:tcPr>
            <w:tcW w:type="dxa" w:w="3960"/>
            <w:vAlign w:val="center"/>
            <w:tcMar>
              <w:top w:w="105" w:type="dxa"/>
              <w:start w:w="125" w:type="dxa"/>
              <w:bottom w:w="105" w:type="dxa"/>
              <w:end w:w="125" w:type="dxa"/>
            </w:tcMar>
            <w:shd w:fill="F5F7F9"/>
          </w:tcPr>
          <w:p>
            <w:r>
              <w:t>The final number of unique records requested</w:t>
            </w:r>
          </w:p>
        </w:tc>
        <w:tc>
          <w:tcPr>
            <w:tcW w:type="dxa" w:w="3312"/>
            <w:vAlign w:val="center"/>
            <w:tcMar>
              <w:top w:w="105" w:type="dxa"/>
              <w:start w:w="125" w:type="dxa"/>
              <w:bottom w:w="105" w:type="dxa"/>
              <w:end w:w="125" w:type="dxa"/>
            </w:tcMar>
            <w:shd w:fill="F5F7F9"/>
          </w:tcPr>
          <w:p>
            <w:r>
              <w:t>Start with 5 or 10; the imported flow defaults to 50</w:t>
            </w:r>
          </w:p>
        </w:tc>
      </w:tr>
      <w:tr>
        <w:trPr>
          <w:cantSplit w:val="true"/>
        </w:trPr>
        <w:tc>
          <w:tcPr>
            <w:tcW w:type="dxa" w:w="2520"/>
            <w:vAlign w:val="center"/>
            <w:tcMar>
              <w:top w:w="105" w:type="dxa"/>
              <w:start w:w="125" w:type="dxa"/>
              <w:bottom w:w="105" w:type="dxa"/>
              <w:end w:w="125" w:type="dxa"/>
            </w:tcMar>
          </w:tcPr>
          <w:p>
            <w:r>
              <w:t>Records per Generation Call</w:t>
            </w:r>
          </w:p>
        </w:tc>
        <w:tc>
          <w:tcPr>
            <w:tcW w:type="dxa" w:w="3960"/>
            <w:vAlign w:val="center"/>
            <w:tcMar>
              <w:top w:w="105" w:type="dxa"/>
              <w:start w:w="125" w:type="dxa"/>
              <w:bottom w:w="105" w:type="dxa"/>
              <w:end w:w="125" w:type="dxa"/>
            </w:tcMar>
          </w:tcPr>
          <w:p>
            <w:r>
              <w:t>Maximum requested in one model call</w:t>
            </w:r>
          </w:p>
        </w:tc>
        <w:tc>
          <w:tcPr>
            <w:tcW w:type="dxa" w:w="3312"/>
            <w:vAlign w:val="center"/>
            <w:tcMar>
              <w:top w:w="105" w:type="dxa"/>
              <w:start w:w="125" w:type="dxa"/>
              <w:bottom w:w="105" w:type="dxa"/>
              <w:end w:w="125" w:type="dxa"/>
            </w:tcMar>
          </w:tcPr>
          <w:p>
            <w:r>
              <w:t>The imported flow defaults to 10</w:t>
            </w:r>
          </w:p>
        </w:tc>
      </w:tr>
    </w:tbl>
    <w:p>
      <w:pPr>
        <w:spacing w:after="0"/>
        <w:widowControl w:val="1"/>
      </w:pPr>
    </w:p>
    <w:p>
      <w:pPr>
        <w:ind w:left="288" w:right="288"/>
        <w:widowControl w:val="1"/>
      </w:pPr>
      <w:r>
        <w:rPr>
          <w:b/>
        </w:rPr>
        <w:t xml:space="preserve">Credentials </w:t>
      </w:r>
      <w:r>
        <w:t>When Base URL or API Key is blank, the component checks OPENAI_COMPATIBLE_BASE_URL and OPENAI_COMPATIBLE_API_KEY in the Langflow server environment. Ask the server administrator if you do not know whether these variables are configured.</w:t>
      </w:r>
    </w:p>
    <w:p>
      <w:pPr>
        <w:widowControl w:val="1"/>
      </w:pPr>
      <w:r>
        <w:br w:type="page"/>
      </w:r>
    </w:p>
    <w:p>
      <w:pPr>
        <w:pStyle w:val="Heading1"/>
        <w:keepNext/>
        <w:widowControl w:val="1"/>
      </w:pPr>
      <w:r>
        <w:t>6 Control data quality and variety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cantSplit w:val="true"/>
          <w:tblHeader w:val="true"/>
        </w:trPr>
        <w:tc>
          <w:tcPr>
            <w:tcW w:type="dxa" w:w="2592"/>
            <w:vAlign w:val="center"/>
            <w:shd w:fill="17365D"/>
            <w:tcMar>
              <w:top w:w="105" w:type="dxa"/>
              <w:start w:w="125" w:type="dxa"/>
              <w:bottom w:w="105" w:type="dxa"/>
              <w:end w:w="125" w:type="dxa"/>
            </w:tcMar>
          </w:tcPr>
          <w:p>
            <w:r>
              <w:rPr>
                <w:b/>
                <w:color w:val="FFFFFF"/>
              </w:rPr>
              <w:t>Setting</w:t>
            </w:r>
          </w:p>
        </w:tc>
        <w:tc>
          <w:tcPr>
            <w:tcW w:type="dxa" w:w="3816"/>
            <w:vAlign w:val="center"/>
            <w:shd w:fill="17365D"/>
            <w:tcMar>
              <w:top w:w="105" w:type="dxa"/>
              <w:start w:w="125" w:type="dxa"/>
              <w:bottom w:w="105" w:type="dxa"/>
              <w:end w:w="125" w:type="dxa"/>
            </w:tcMar>
          </w:tcPr>
          <w:p>
            <w:r>
              <w:rPr>
                <w:b/>
                <w:color w:val="FFFFFF"/>
              </w:rPr>
              <w:t>Purpose</w:t>
            </w:r>
          </w:p>
        </w:tc>
        <w:tc>
          <w:tcPr>
            <w:tcW w:type="dxa" w:w="3384"/>
            <w:vAlign w:val="center"/>
            <w:shd w:fill="17365D"/>
            <w:tcMar>
              <w:top w:w="105" w:type="dxa"/>
              <w:start w:w="125" w:type="dxa"/>
              <w:bottom w:w="105" w:type="dxa"/>
              <w:end w:w="125" w:type="dxa"/>
            </w:tcMar>
          </w:tcPr>
          <w:p>
            <w:r>
              <w:rPr>
                <w:b/>
                <w:color w:val="FFFFFF"/>
              </w:rPr>
              <w:t>How to write it</w:t>
            </w:r>
          </w:p>
        </w:tc>
      </w:tr>
      <w:tr>
        <w:trPr>
          <w:cantSplit w:val="true"/>
        </w:trPr>
        <w:tc>
          <w:tcPr>
            <w:tcW w:type="dxa" w:w="2592"/>
            <w:vAlign w:val="center"/>
            <w:tcMar>
              <w:top w:w="105" w:type="dxa"/>
              <w:start w:w="125" w:type="dxa"/>
              <w:bottom w:w="105" w:type="dxa"/>
              <w:end w:w="125" w:type="dxa"/>
            </w:tcMar>
          </w:tcPr>
          <w:p>
            <w:r>
              <w:t>Test Goal</w:t>
            </w:r>
          </w:p>
        </w:tc>
        <w:tc>
          <w:tcPr>
            <w:tcW w:type="dxa" w:w="3816"/>
            <w:vAlign w:val="center"/>
            <w:tcMar>
              <w:top w:w="105" w:type="dxa"/>
              <w:start w:w="125" w:type="dxa"/>
              <w:bottom w:w="105" w:type="dxa"/>
              <w:end w:w="125" w:type="dxa"/>
            </w:tcMar>
          </w:tcPr>
          <w:p>
            <w:r>
              <w:t>Defines what the generated records should help evaluate</w:t>
            </w:r>
          </w:p>
        </w:tc>
        <w:tc>
          <w:tcPr>
            <w:tcW w:type="dxa" w:w="3384"/>
            <w:vAlign w:val="center"/>
            <w:tcMar>
              <w:top w:w="105" w:type="dxa"/>
              <w:start w:w="125" w:type="dxa"/>
              <w:bottom w:w="105" w:type="dxa"/>
              <w:end w:w="125" w:type="dxa"/>
            </w:tcMar>
          </w:tcPr>
          <w:p>
            <w:r>
              <w:t>Name the decisions or predictions the downstream system must make</w:t>
            </w:r>
          </w:p>
        </w:tc>
      </w:tr>
      <w:tr>
        <w:trPr>
          <w:cantSplit w:val="true"/>
        </w:trPr>
        <w:tc>
          <w:tcPr>
            <w:tcW w:type="dxa" w:w="2592"/>
            <w:vAlign w:val="center"/>
            <w:tcMar>
              <w:top w:w="105" w:type="dxa"/>
              <w:start w:w="125" w:type="dxa"/>
              <w:bottom w:w="105" w:type="dxa"/>
              <w:end w:w="125" w:type="dxa"/>
            </w:tcMar>
            <w:shd w:fill="F5F7F9"/>
          </w:tcPr>
          <w:p>
            <w:r>
              <w:t>Dataset Context and Relationships</w:t>
            </w:r>
          </w:p>
        </w:tc>
        <w:tc>
          <w:tcPr>
            <w:tcW w:type="dxa" w:w="3816"/>
            <w:vAlign w:val="center"/>
            <w:tcMar>
              <w:top w:w="105" w:type="dxa"/>
              <w:start w:w="125" w:type="dxa"/>
              <w:bottom w:w="105" w:type="dxa"/>
              <w:end w:w="125" w:type="dxa"/>
            </w:tcMar>
            <w:shd w:fill="F5F7F9"/>
          </w:tcPr>
          <w:p>
            <w:r>
              <w:t>Defines the fictional organization and consistency rules</w:t>
            </w:r>
          </w:p>
        </w:tc>
        <w:tc>
          <w:tcPr>
            <w:tcW w:type="dxa" w:w="3384"/>
            <w:vAlign w:val="center"/>
            <w:tcMar>
              <w:top w:w="105" w:type="dxa"/>
              <w:start w:w="125" w:type="dxa"/>
              <w:bottom w:w="105" w:type="dxa"/>
              <w:end w:w="125" w:type="dxa"/>
            </w:tcMar>
            <w:shd w:fill="F5F7F9"/>
          </w:tcPr>
          <w:p>
            <w:r>
              <w:t>Describe stable services, groups, dates, identifiers, and dependencies</w:t>
            </w:r>
          </w:p>
        </w:tc>
      </w:tr>
      <w:tr>
        <w:trPr>
          <w:cantSplit w:val="true"/>
        </w:trPr>
        <w:tc>
          <w:tcPr>
            <w:tcW w:type="dxa" w:w="2592"/>
            <w:vAlign w:val="center"/>
            <w:tcMar>
              <w:top w:w="105" w:type="dxa"/>
              <w:start w:w="125" w:type="dxa"/>
              <w:bottom w:w="105" w:type="dxa"/>
              <w:end w:w="125" w:type="dxa"/>
            </w:tcMar>
          </w:tcPr>
          <w:p>
            <w:r>
              <w:t>Scenario Mix</w:t>
            </w:r>
          </w:p>
        </w:tc>
        <w:tc>
          <w:tcPr>
            <w:tcW w:type="dxa" w:w="3816"/>
            <w:vAlign w:val="center"/>
            <w:tcMar>
              <w:top w:w="105" w:type="dxa"/>
              <w:start w:w="125" w:type="dxa"/>
              <w:bottom w:w="105" w:type="dxa"/>
              <w:end w:w="125" w:type="dxa"/>
            </w:tcMar>
          </w:tcPr>
          <w:p>
            <w:r>
              <w:t>Controls the mix of common, edge, ambiguous, noisy, or adversarial cases</w:t>
            </w:r>
          </w:p>
        </w:tc>
        <w:tc>
          <w:tcPr>
            <w:tcW w:type="dxa" w:w="3384"/>
            <w:vAlign w:val="center"/>
            <w:tcMar>
              <w:top w:w="105" w:type="dxa"/>
              <w:start w:w="125" w:type="dxa"/>
              <w:bottom w:w="105" w:type="dxa"/>
              <w:end w:w="125" w:type="dxa"/>
            </w:tcMar>
          </w:tcPr>
          <w:p>
            <w:r>
              <w:t>State approximate proportions and concrete situations to include</w:t>
            </w:r>
          </w:p>
        </w:tc>
      </w:tr>
      <w:tr>
        <w:trPr>
          <w:cantSplit w:val="true"/>
        </w:trPr>
        <w:tc>
          <w:tcPr>
            <w:tcW w:type="dxa" w:w="2592"/>
            <w:vAlign w:val="center"/>
            <w:tcMar>
              <w:top w:w="105" w:type="dxa"/>
              <w:start w:w="125" w:type="dxa"/>
              <w:bottom w:w="105" w:type="dxa"/>
              <w:end w:w="125" w:type="dxa"/>
            </w:tcMar>
            <w:shd w:fill="F5F7F9"/>
          </w:tcPr>
          <w:p>
            <w:r>
              <w:t>Temperature</w:t>
            </w:r>
          </w:p>
        </w:tc>
        <w:tc>
          <w:tcPr>
            <w:tcW w:type="dxa" w:w="3816"/>
            <w:vAlign w:val="center"/>
            <w:tcMar>
              <w:top w:w="105" w:type="dxa"/>
              <w:start w:w="125" w:type="dxa"/>
              <w:bottom w:w="105" w:type="dxa"/>
              <w:end w:w="125" w:type="dxa"/>
            </w:tcMar>
            <w:shd w:fill="F5F7F9"/>
          </w:tcPr>
          <w:p>
            <w:r>
              <w:t>Controls model variation</w:t>
            </w:r>
          </w:p>
        </w:tc>
        <w:tc>
          <w:tcPr>
            <w:tcW w:type="dxa" w:w="3384"/>
            <w:vAlign w:val="center"/>
            <w:tcMar>
              <w:top w:w="105" w:type="dxa"/>
              <w:start w:w="125" w:type="dxa"/>
              <w:bottom w:w="105" w:type="dxa"/>
              <w:end w:w="125" w:type="dxa"/>
            </w:tcMar>
            <w:shd w:fill="F5F7F9"/>
          </w:tcPr>
          <w:p>
            <w:r>
              <w:t>Use the default 0.7 first; lower it if outputs are too erratic</w:t>
            </w:r>
          </w:p>
        </w:tc>
      </w:tr>
    </w:tbl>
    <w:p>
      <w:pPr>
        <w:spacing w:after="0"/>
        <w:widowControl w:val="1"/>
      </w:pPr>
    </w:p>
    <w:p>
      <w:pPr>
        <w:pStyle w:val="Heading2"/>
        <w:keepNext/>
        <w:widowControl w:val="1"/>
      </w:pPr>
      <w:r>
        <w:t>A good test goal</w:t>
      </w:r>
    </w:p>
    <w:p>
      <w:pPr>
        <w:pStyle w:val="Code"/>
        <w:widowControl w:val="1"/>
      </w:pPr>
      <w:r>
        <w:t>Evaluate whether a service desk agent selects the correct category and assignment group and asks for missing information when the description is incomplete.</w:t>
      </w:r>
    </w:p>
    <w:p>
      <w:pPr>
        <w:pStyle w:val="Heading2"/>
        <w:keepNext/>
        <w:widowControl w:val="1"/>
      </w:pPr>
      <w:r>
        <w:t>A good context instruction</w:t>
      </w:r>
    </w:p>
    <w:p>
      <w:pPr>
        <w:pStyle w:val="Code"/>
        <w:widowControl w:val="1"/>
      </w:pPr>
      <w:r>
        <w:t>Use one fictional company with a stable service catalog. Keep category, assignment group, business service, priority, timestamps, state, and resolution mutually consistent.</w:t>
      </w:r>
    </w:p>
    <w:p>
      <w:pPr>
        <w:pStyle w:val="Heading2"/>
        <w:keepNext/>
        <w:widowControl w:val="1"/>
      </w:pPr>
      <w:r>
        <w:t>A good scenario mix</w:t>
      </w:r>
    </w:p>
    <w:p>
      <w:pPr>
        <w:pStyle w:val="Code"/>
        <w:widowControl w:val="1"/>
      </w:pPr>
      <w:r>
        <w:t>Include common requests plus a smaller number of incomplete descriptions, typos, duplicate reports, outages, escalations, and safe adversarial text.</w:t>
      </w:r>
    </w:p>
    <w:p>
      <w:pPr>
        <w:pStyle w:val="Heading1"/>
        <w:keepNext/>
        <w:widowControl w:val="1"/>
      </w:pPr>
      <w:r>
        <w:t>7 Use sanitized reference examples</w:t>
      </w:r>
    </w:p>
    <w:p>
      <w:pPr>
        <w:widowControl w:val="1"/>
      </w:pPr>
      <w:r>
        <w:t>Reference examples help the model imitate approved vocabulary, group names, distributions, and relationships. They are optional. The generator instructs the model to create new records rather than copy the examples.</w:t>
      </w:r>
    </w:p>
    <w:p>
      <w:pPr>
        <w:pStyle w:val="Heading2"/>
        <w:keepNext/>
        <w:widowControl w:val="1"/>
      </w:pPr>
      <w:r>
        <w:t>Accepted formats</w:t>
      </w:r>
    </w:p>
    <w:p>
      <w:pPr>
        <w:widowControl w:val="1"/>
      </w:pPr>
      <w:r>
        <w:t>You can paste a flat JSON array of records or an object whose keys identify groups. In grouped format, the group name is added to the Reference Group Field when the record does not already contain it.</w:t>
      </w:r>
    </w:p>
    <w:p>
      <w:pPr>
        <w:pStyle w:val="Code"/>
        <w:widowControl w:val="1"/>
      </w:pPr>
      <w:r>
        <w:t>{</w:t>
        <w:br/>
        <w:t xml:space="preserve">  "Network Support": [</w:t>
        <w:br/>
        <w:t xml:space="preserve">    {"short_description": "VPN disconnects", "category": "Network"}</w:t>
        <w:br/>
        <w:t xml:space="preserve">  ],</w:t>
        <w:br/>
        <w:t xml:space="preserve">  "Access Management": [</w:t>
        <w:br/>
        <w:t xml:space="preserve">    {"short_description": "Cannot open finance app", "category": "Access"}</w:t>
        <w:br/>
        <w:t xml:space="preserve">  ]</w:t>
        <w:br/>
        <w:t>}</w:t>
      </w:r>
    </w:p>
    <w:p>
      <w:pPr>
        <w:pStyle w:val="Heading2"/>
        <w:keepNext/>
        <w:widowControl w:val="1"/>
      </w:pPr>
      <w:r>
        <w:t>Reference settings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cantSplit w:val="true"/>
          <w:tblHeader w:val="true"/>
        </w:trPr>
        <w:tc>
          <w:tcPr>
            <w:tcW w:type="dxa" w:w="3024"/>
            <w:vAlign w:val="center"/>
            <w:shd w:fill="17365D"/>
            <w:tcMar>
              <w:top w:w="105" w:type="dxa"/>
              <w:start w:w="125" w:type="dxa"/>
              <w:bottom w:w="105" w:type="dxa"/>
              <w:end w:w="125" w:type="dxa"/>
            </w:tcMar>
          </w:tcPr>
          <w:p>
            <w:r>
              <w:rPr>
                <w:b/>
                <w:color w:val="FFFFFF"/>
              </w:rPr>
              <w:t>Setting</w:t>
            </w:r>
          </w:p>
        </w:tc>
        <w:tc>
          <w:tcPr>
            <w:tcW w:type="dxa" w:w="2232"/>
            <w:vAlign w:val="center"/>
            <w:shd w:fill="17365D"/>
            <w:tcMar>
              <w:top w:w="105" w:type="dxa"/>
              <w:start w:w="125" w:type="dxa"/>
              <w:bottom w:w="105" w:type="dxa"/>
              <w:end w:w="125" w:type="dxa"/>
            </w:tcMar>
          </w:tcPr>
          <w:p>
            <w:r>
              <w:rPr>
                <w:b/>
                <w:color w:val="FFFFFF"/>
              </w:rPr>
              <w:t>Default</w:t>
            </w:r>
          </w:p>
        </w:tc>
        <w:tc>
          <w:tcPr>
            <w:tcW w:type="dxa" w:w="4536"/>
            <w:vAlign w:val="center"/>
            <w:shd w:fill="17365D"/>
            <w:tcMar>
              <w:top w:w="105" w:type="dxa"/>
              <w:start w:w="125" w:type="dxa"/>
              <w:bottom w:w="105" w:type="dxa"/>
              <w:end w:w="125" w:type="dxa"/>
            </w:tcMar>
          </w:tcPr>
          <w:p>
            <w:r>
              <w:rPr>
                <w:b/>
                <w:color w:val="FFFFFF"/>
              </w:rPr>
              <w:t>Meaning</w:t>
            </w:r>
          </w:p>
        </w:tc>
      </w:tr>
      <w:tr>
        <w:trPr>
          <w:cantSplit w:val="true"/>
        </w:trPr>
        <w:tc>
          <w:tcPr>
            <w:tcW w:type="dxa" w:w="3024"/>
            <w:vAlign w:val="center"/>
            <w:tcMar>
              <w:top w:w="105" w:type="dxa"/>
              <w:start w:w="125" w:type="dxa"/>
              <w:bottom w:w="105" w:type="dxa"/>
              <w:end w:w="125" w:type="dxa"/>
            </w:tcMar>
          </w:tcPr>
          <w:p>
            <w:r>
              <w:t>Reference Group Field</w:t>
            </w:r>
          </w:p>
        </w:tc>
        <w:tc>
          <w:tcPr>
            <w:tcW w:type="dxa" w:w="2232"/>
            <w:vAlign w:val="center"/>
            <w:tcMar>
              <w:top w:w="105" w:type="dxa"/>
              <w:start w:w="125" w:type="dxa"/>
              <w:bottom w:w="105" w:type="dxa"/>
              <w:end w:w="125" w:type="dxa"/>
            </w:tcMar>
          </w:tcPr>
          <w:p>
            <w:r>
              <w:t>assignment_group</w:t>
            </w:r>
          </w:p>
        </w:tc>
        <w:tc>
          <w:tcPr>
            <w:tcW w:type="dxa" w:w="4536"/>
            <w:vAlign w:val="center"/>
            <w:tcMar>
              <w:top w:w="105" w:type="dxa"/>
              <w:start w:w="125" w:type="dxa"/>
              <w:bottom w:w="105" w:type="dxa"/>
              <w:end w:w="125" w:type="dxa"/>
            </w:tcMar>
          </w:tcPr>
          <w:p>
            <w:r>
              <w:t>The field used to preserve group-specific patterns</w:t>
            </w:r>
          </w:p>
        </w:tc>
      </w:tr>
      <w:tr>
        <w:trPr>
          <w:cantSplit w:val="true"/>
        </w:trPr>
        <w:tc>
          <w:tcPr>
            <w:tcW w:type="dxa" w:w="3024"/>
            <w:vAlign w:val="center"/>
            <w:tcMar>
              <w:top w:w="105" w:type="dxa"/>
              <w:start w:w="125" w:type="dxa"/>
              <w:bottom w:w="105" w:type="dxa"/>
              <w:end w:w="125" w:type="dxa"/>
            </w:tcMar>
            <w:shd w:fill="F5F7F9"/>
          </w:tcPr>
          <w:p>
            <w:r>
              <w:t>Fields to Redact</w:t>
            </w:r>
          </w:p>
        </w:tc>
        <w:tc>
          <w:tcPr>
            <w:tcW w:type="dxa" w:w="2232"/>
            <w:vAlign w:val="center"/>
            <w:tcMar>
              <w:top w:w="105" w:type="dxa"/>
              <w:start w:w="125" w:type="dxa"/>
              <w:bottom w:w="105" w:type="dxa"/>
              <w:end w:w="125" w:type="dxa"/>
            </w:tcMar>
            <w:shd w:fill="F5F7F9"/>
          </w:tcPr>
          <w:p>
            <w:r>
              <w:t>Common identity fields</w:t>
            </w:r>
          </w:p>
        </w:tc>
        <w:tc>
          <w:tcPr>
            <w:tcW w:type="dxa" w:w="4536"/>
            <w:vAlign w:val="center"/>
            <w:tcMar>
              <w:top w:w="105" w:type="dxa"/>
              <w:start w:w="125" w:type="dxa"/>
              <w:bottom w:w="105" w:type="dxa"/>
              <w:end w:w="125" w:type="dxa"/>
            </w:tcMar>
            <w:shd w:fill="F5F7F9"/>
          </w:tcPr>
          <w:p>
            <w:r>
              <w:t>Comma-separated field names replaced before the prompt is created</w:t>
            </w:r>
          </w:p>
        </w:tc>
      </w:tr>
      <w:tr>
        <w:trPr>
          <w:cantSplit w:val="true"/>
        </w:trPr>
        <w:tc>
          <w:tcPr>
            <w:tcW w:type="dxa" w:w="3024"/>
            <w:vAlign w:val="center"/>
            <w:tcMar>
              <w:top w:w="105" w:type="dxa"/>
              <w:start w:w="125" w:type="dxa"/>
              <w:bottom w:w="105" w:type="dxa"/>
              <w:end w:w="125" w:type="dxa"/>
            </w:tcMar>
          </w:tcPr>
          <w:p>
            <w:r>
              <w:t>Maximum Reference Examples</w:t>
            </w:r>
          </w:p>
        </w:tc>
        <w:tc>
          <w:tcPr>
            <w:tcW w:type="dxa" w:w="2232"/>
            <w:vAlign w:val="center"/>
            <w:tcMar>
              <w:top w:w="105" w:type="dxa"/>
              <w:start w:w="125" w:type="dxa"/>
              <w:bottom w:w="105" w:type="dxa"/>
              <w:end w:w="125" w:type="dxa"/>
            </w:tcMar>
          </w:tcPr>
          <w:p>
            <w:r>
              <w:t>20</w:t>
            </w:r>
          </w:p>
        </w:tc>
        <w:tc>
          <w:tcPr>
            <w:tcW w:type="dxa" w:w="4536"/>
            <w:vAlign w:val="center"/>
            <w:tcMar>
              <w:top w:w="105" w:type="dxa"/>
              <w:start w:w="125" w:type="dxa"/>
              <w:bottom w:w="105" w:type="dxa"/>
              <w:end w:w="125" w:type="dxa"/>
            </w:tcMar>
          </w:tcPr>
          <w:p>
            <w:r>
              <w:t>The prompt uses only the first examples up to this limit; the code caps it at 100</w:t>
            </w:r>
          </w:p>
        </w:tc>
      </w:tr>
    </w:tbl>
    <w:p>
      <w:pPr>
        <w:spacing w:after="0"/>
        <w:widowControl w:val="1"/>
      </w:pPr>
    </w:p>
    <w:p>
      <w:pPr>
        <w:widowControl w:val="1"/>
      </w:pPr>
      <w:r>
        <w:t>The sanitizer replaces configured field values recursively and replaces email-shaped text with REDACTED EMAIL markers. It does not identify every possible kind of personal or confidential information.</w:t>
      </w:r>
    </w:p>
    <w:p>
      <w:pPr>
        <w:ind w:left="288" w:right="288"/>
        <w:widowControl w:val="1"/>
      </w:pPr>
      <w:r>
        <w:rPr>
          <w:b/>
        </w:rPr>
        <w:t xml:space="preserve">Data safety </w:t>
      </w:r>
      <w:r>
        <w:t>Remove names, free-text secrets, customer information, credentials, and other sensitive values before pasting examples. Automatic redaction is an additional check, not approval to use production records.</w:t>
      </w:r>
    </w:p>
    <w:p>
      <w:pPr>
        <w:pStyle w:val="Heading1"/>
        <w:keepNext/>
        <w:widowControl w:val="1"/>
      </w:pPr>
      <w:r>
        <w:t>8 Choose continuity or speed</w:t>
      </w:r>
    </w:p>
    <w:p>
      <w:pPr>
        <w:widowControl w:val="1"/>
      </w:pPr>
      <w:r>
        <w:t>The generator divides the requested record count into batches. The continuity setting determines whether those batches run one after another or can run concurrently.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cantSplit w:val="true"/>
          <w:tblHeader w:val="true"/>
        </w:trPr>
        <w:tc>
          <w:tcPr>
            <w:tcW w:type="dxa" w:w="2376"/>
            <w:vAlign w:val="center"/>
            <w:shd w:fill="17365D"/>
            <w:tcMar>
              <w:top w:w="105" w:type="dxa"/>
              <w:start w:w="125" w:type="dxa"/>
              <w:bottom w:w="105" w:type="dxa"/>
              <w:end w:w="125" w:type="dxa"/>
            </w:tcMar>
          </w:tcPr>
          <w:p>
            <w:r>
              <w:rPr>
                <w:b/>
                <w:color w:val="FFFFFF"/>
              </w:rPr>
              <w:t>Mode</w:t>
            </w:r>
          </w:p>
        </w:tc>
        <w:tc>
          <w:tcPr>
            <w:tcW w:type="dxa" w:w="4680"/>
            <w:vAlign w:val="center"/>
            <w:shd w:fill="17365D"/>
            <w:tcMar>
              <w:top w:w="105" w:type="dxa"/>
              <w:start w:w="125" w:type="dxa"/>
              <w:bottom w:w="105" w:type="dxa"/>
              <w:end w:w="125" w:type="dxa"/>
            </w:tcMar>
          </w:tcPr>
          <w:p>
            <w:r>
              <w:rPr>
                <w:b/>
                <w:color w:val="FFFFFF"/>
              </w:rPr>
              <w:t>Behavior</w:t>
            </w:r>
          </w:p>
        </w:tc>
        <w:tc>
          <w:tcPr>
            <w:tcW w:type="dxa" w:w="2736"/>
            <w:vAlign w:val="center"/>
            <w:shd w:fill="17365D"/>
            <w:tcMar>
              <w:top w:w="105" w:type="dxa"/>
              <w:start w:w="125" w:type="dxa"/>
              <w:bottom w:w="105" w:type="dxa"/>
              <w:end w:w="125" w:type="dxa"/>
            </w:tcMar>
          </w:tcPr>
          <w:p>
            <w:r>
              <w:rPr>
                <w:b/>
                <w:color w:val="FFFFFF"/>
              </w:rPr>
              <w:t>Choose it when</w:t>
            </w:r>
          </w:p>
        </w:tc>
      </w:tr>
      <w:tr>
        <w:trPr>
          <w:cantSplit w:val="true"/>
        </w:trPr>
        <w:tc>
          <w:tcPr>
            <w:tcW w:type="dxa" w:w="2376"/>
            <w:vAlign w:val="center"/>
            <w:tcMar>
              <w:top w:w="105" w:type="dxa"/>
              <w:start w:w="125" w:type="dxa"/>
              <w:bottom w:w="105" w:type="dxa"/>
              <w:end w:w="125" w:type="dxa"/>
            </w:tcMar>
          </w:tcPr>
          <w:p>
            <w:r>
              <w:t>Continuity enabled</w:t>
            </w:r>
          </w:p>
        </w:tc>
        <w:tc>
          <w:tcPr>
            <w:tcW w:type="dxa" w:w="4680"/>
            <w:vAlign w:val="center"/>
            <w:tcMar>
              <w:top w:w="105" w:type="dxa"/>
              <w:start w:w="125" w:type="dxa"/>
              <w:bottom w:w="105" w:type="dxa"/>
              <w:end w:w="125" w:type="dxa"/>
            </w:tcMar>
          </w:tcPr>
          <w:p>
            <w:r>
              <w:t>Runs sequentially and gives each new batch a compact profile of earlier records</w:t>
            </w:r>
          </w:p>
        </w:tc>
        <w:tc>
          <w:tcPr>
            <w:tcW w:type="dxa" w:w="2736"/>
            <w:vAlign w:val="center"/>
            <w:tcMar>
              <w:top w:w="105" w:type="dxa"/>
              <w:start w:w="125" w:type="dxa"/>
              <w:bottom w:w="105" w:type="dxa"/>
              <w:end w:w="125" w:type="dxa"/>
            </w:tcMar>
          </w:tcPr>
          <w:p>
            <w:r>
              <w:t>The dataset should resemble one connected fictional organization</w:t>
            </w:r>
          </w:p>
        </w:tc>
      </w:tr>
      <w:tr>
        <w:trPr>
          <w:cantSplit w:val="true"/>
        </w:trPr>
        <w:tc>
          <w:tcPr>
            <w:tcW w:type="dxa" w:w="2376"/>
            <w:vAlign w:val="center"/>
            <w:tcMar>
              <w:top w:w="105" w:type="dxa"/>
              <w:start w:w="125" w:type="dxa"/>
              <w:bottom w:w="105" w:type="dxa"/>
              <w:end w:w="125" w:type="dxa"/>
            </w:tcMar>
            <w:shd w:fill="F5F7F9"/>
          </w:tcPr>
          <w:p>
            <w:r>
              <w:t>Continuity disabled</w:t>
            </w:r>
          </w:p>
        </w:tc>
        <w:tc>
          <w:tcPr>
            <w:tcW w:type="dxa" w:w="4680"/>
            <w:vAlign w:val="center"/>
            <w:tcMar>
              <w:top w:w="105" w:type="dxa"/>
              <w:start w:w="125" w:type="dxa"/>
              <w:bottom w:w="105" w:type="dxa"/>
              <w:end w:w="125" w:type="dxa"/>
            </w:tcMar>
            <w:shd w:fill="F5F7F9"/>
          </w:tcPr>
          <w:p>
            <w:r>
              <w:t>Runs initial batches concurrently, limited by Concurrent LLM Calls</w:t>
            </w:r>
          </w:p>
        </w:tc>
        <w:tc>
          <w:tcPr>
            <w:tcW w:type="dxa" w:w="2736"/>
            <w:vAlign w:val="center"/>
            <w:tcMar>
              <w:top w:w="105" w:type="dxa"/>
              <w:start w:w="125" w:type="dxa"/>
              <w:bottom w:w="105" w:type="dxa"/>
              <w:end w:w="125" w:type="dxa"/>
            </w:tcMar>
            <w:shd w:fill="F5F7F9"/>
          </w:tcPr>
          <w:p>
            <w:r>
              <w:t>Generation speed matters more than cross-batch consistency</w:t>
            </w:r>
          </w:p>
        </w:tc>
      </w:tr>
    </w:tbl>
    <w:p>
      <w:pPr>
        <w:spacing w:after="0"/>
        <w:widowControl w:val="1"/>
      </w:pPr>
    </w:p>
    <w:p>
      <w:pPr>
        <w:pStyle w:val="Heading2"/>
        <w:keepNext/>
        <w:widowControl w:val="1"/>
      </w:pPr>
      <w:r>
        <w:t>Continuity profile</w:t>
      </w:r>
    </w:p>
    <w:p>
      <w:pPr>
        <w:widowControl w:val="1"/>
      </w:pPr>
      <w:r>
        <w:t>The profile includes the number generated so far, the first and latest record number, selected field distributions, and a small set of recent records. Recent Records in Continuity Profile defaults to 3 and is capped at 10.</w:t>
      </w:r>
    </w:p>
    <w:p>
      <w:pPr>
        <w:pStyle w:val="Heading2"/>
        <w:keepNext/>
        <w:widowControl w:val="1"/>
      </w:pPr>
      <w:r>
        <w:t>Performance settings</w:t>
      </w:r>
    </w:p>
    <w:p>
      <w:pPr>
        <w:pStyle w:val="ListBullet"/>
        <w:widowControl w:val="1"/>
      </w:pPr>
      <w:r>
        <w:t>Keep Records per Generation Call at 10 for a smaller-context or less reliable model.</w:t>
      </w:r>
    </w:p>
    <w:p>
      <w:pPr>
        <w:pStyle w:val="ListBullet"/>
        <w:widowControl w:val="1"/>
      </w:pPr>
      <w:r>
        <w:t>Increase the batch size only after confirming that the model returns complete valid JSON.</w:t>
      </w:r>
    </w:p>
    <w:p>
      <w:pPr>
        <w:pStyle w:val="ListBullet"/>
        <w:widowControl w:val="1"/>
      </w:pPr>
      <w:r>
        <w:t>Concurrent LLM Calls applies only when continuity is disabled and is capped at 8.</w:t>
      </w:r>
    </w:p>
    <w:p>
      <w:pPr>
        <w:pStyle w:val="ListBullet"/>
        <w:widowControl w:val="1"/>
      </w:pPr>
      <w:r>
        <w:t>Use concurrency 1 for a single-threaded local model server.</w:t>
      </w:r>
    </w:p>
    <w:p>
      <w:pPr>
        <w:pStyle w:val="ListBullet"/>
        <w:widowControl w:val="1"/>
      </w:pPr>
      <w:r>
        <w:t>Keep Compact Prompt enabled to reduce repeated input tokens.</w:t>
      </w:r>
    </w:p>
    <w:p>
      <w:pPr>
        <w:pStyle w:val="Heading2"/>
        <w:keepNext/>
        <w:widowControl w:val="1"/>
      </w:pPr>
      <w:r>
        <w:t>JSON mode</w:t>
      </w:r>
    </w:p>
    <w:p>
      <w:pPr>
        <w:widowControl w:val="1"/>
      </w:pPr>
      <w:r>
        <w:t>Request JSON Mode asks the endpoint for a JSON object. If the endpoint rejects that request as invalid, the component automatically repeats the call without the JSON-mode parameter. The model must still return parseable JSON.</w:t>
      </w:r>
    </w:p>
    <w:p>
      <w:pPr>
        <w:pStyle w:val="Heading1"/>
        <w:keepNext/>
        <w:widowControl w:val="1"/>
      </w:pPr>
      <w:r>
        <w:t>9 Read and use the outputs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cantSplit w:val="true"/>
          <w:tblHeader w:val="true"/>
        </w:trPr>
        <w:tc>
          <w:tcPr>
            <w:tcW w:type="dxa" w:w="2376"/>
            <w:vAlign w:val="center"/>
            <w:shd w:fill="17365D"/>
            <w:tcMar>
              <w:top w:w="105" w:type="dxa"/>
              <w:start w:w="125" w:type="dxa"/>
              <w:bottom w:w="105" w:type="dxa"/>
              <w:end w:w="125" w:type="dxa"/>
            </w:tcMar>
          </w:tcPr>
          <w:p>
            <w:r>
              <w:rPr>
                <w:b/>
                <w:color w:val="FFFFFF"/>
              </w:rPr>
              <w:t>Output</w:t>
            </w:r>
          </w:p>
        </w:tc>
        <w:tc>
          <w:tcPr>
            <w:tcW w:type="dxa" w:w="4320"/>
            <w:vAlign w:val="center"/>
            <w:shd w:fill="17365D"/>
            <w:tcMar>
              <w:top w:w="105" w:type="dxa"/>
              <w:start w:w="125" w:type="dxa"/>
              <w:bottom w:w="105" w:type="dxa"/>
              <w:end w:w="125" w:type="dxa"/>
            </w:tcMar>
          </w:tcPr>
          <w:p>
            <w:r>
              <w:rPr>
                <w:b/>
                <w:color w:val="FFFFFF"/>
              </w:rPr>
              <w:t>What it contains</w:t>
            </w:r>
          </w:p>
        </w:tc>
        <w:tc>
          <w:tcPr>
            <w:tcW w:type="dxa" w:w="3096"/>
            <w:vAlign w:val="center"/>
            <w:shd w:fill="17365D"/>
            <w:tcMar>
              <w:top w:w="105" w:type="dxa"/>
              <w:start w:w="125" w:type="dxa"/>
              <w:bottom w:w="105" w:type="dxa"/>
              <w:end w:w="125" w:type="dxa"/>
            </w:tcMar>
          </w:tcPr>
          <w:p>
            <w:r>
              <w:rPr>
                <w:b/>
                <w:color w:val="FFFFFF"/>
              </w:rPr>
              <w:t>Use it for</w:t>
            </w:r>
          </w:p>
        </w:tc>
      </w:tr>
      <w:tr>
        <w:trPr>
          <w:cantSplit w:val="true"/>
        </w:trPr>
        <w:tc>
          <w:tcPr>
            <w:tcW w:type="dxa" w:w="2376"/>
            <w:vAlign w:val="center"/>
            <w:tcMar>
              <w:top w:w="105" w:type="dxa"/>
              <w:start w:w="125" w:type="dxa"/>
              <w:bottom w:w="105" w:type="dxa"/>
              <w:end w:w="125" w:type="dxa"/>
            </w:tcMar>
          </w:tcPr>
          <w:p>
            <w:r>
              <w:t>Dataset DataFrame</w:t>
            </w:r>
          </w:p>
        </w:tc>
        <w:tc>
          <w:tcPr>
            <w:tcW w:type="dxa" w:w="4320"/>
            <w:vAlign w:val="center"/>
            <w:tcMar>
              <w:top w:w="105" w:type="dxa"/>
              <w:start w:w="125" w:type="dxa"/>
              <w:bottom w:w="105" w:type="dxa"/>
              <w:end w:w="125" w:type="dxa"/>
            </w:tcMar>
          </w:tcPr>
          <w:p>
            <w:r>
              <w:t>Generated records as rows and columns</w:t>
            </w:r>
          </w:p>
        </w:tc>
        <w:tc>
          <w:tcPr>
            <w:tcW w:type="dxa" w:w="3096"/>
            <w:vAlign w:val="center"/>
            <w:tcMar>
              <w:top w:w="105" w:type="dxa"/>
              <w:start w:w="125" w:type="dxa"/>
              <w:bottom w:w="105" w:type="dxa"/>
              <w:end w:w="125" w:type="dxa"/>
            </w:tcMar>
          </w:tcPr>
          <w:p>
            <w:r>
              <w:t>Inspection, filtering, tables, evaluation, or downstream Langflow components</w:t>
            </w:r>
          </w:p>
        </w:tc>
      </w:tr>
      <w:tr>
        <w:trPr>
          <w:cantSplit w:val="true"/>
        </w:trPr>
        <w:tc>
          <w:tcPr>
            <w:tcW w:type="dxa" w:w="2376"/>
            <w:vAlign w:val="center"/>
            <w:tcMar>
              <w:top w:w="105" w:type="dxa"/>
              <w:start w:w="125" w:type="dxa"/>
              <w:bottom w:w="105" w:type="dxa"/>
              <w:end w:w="125" w:type="dxa"/>
            </w:tcMar>
            <w:shd w:fill="F5F7F9"/>
          </w:tcPr>
          <w:p>
            <w:r>
              <w:t>Dataset JSON</w:t>
            </w:r>
          </w:p>
        </w:tc>
        <w:tc>
          <w:tcPr>
            <w:tcW w:type="dxa" w:w="4320"/>
            <w:vAlign w:val="center"/>
            <w:tcMar>
              <w:top w:w="105" w:type="dxa"/>
              <w:start w:w="125" w:type="dxa"/>
              <w:bottom w:w="105" w:type="dxa"/>
              <w:end w:w="125" w:type="dxa"/>
            </w:tcMar>
            <w:shd w:fill="F5F7F9"/>
          </w:tcPr>
          <w:p>
            <w:r>
              <w:t>Generation metadata and records as structured data</w:t>
            </w:r>
          </w:p>
        </w:tc>
        <w:tc>
          <w:tcPr>
            <w:tcW w:type="dxa" w:w="3096"/>
            <w:vAlign w:val="center"/>
            <w:tcMar>
              <w:top w:w="105" w:type="dxa"/>
              <w:start w:w="125" w:type="dxa"/>
              <w:bottom w:w="105" w:type="dxa"/>
              <w:end w:w="125" w:type="dxa"/>
            </w:tcMar>
            <w:shd w:fill="F5F7F9"/>
          </w:tcPr>
          <w:p>
            <w:r>
              <w:t>Another flow, an agent, an API response, or archival</w:t>
            </w:r>
          </w:p>
        </w:tc>
      </w:tr>
      <w:tr>
        <w:trPr>
          <w:cantSplit w:val="true"/>
        </w:trPr>
        <w:tc>
          <w:tcPr>
            <w:tcW w:type="dxa" w:w="2376"/>
            <w:vAlign w:val="center"/>
            <w:tcMar>
              <w:top w:w="105" w:type="dxa"/>
              <w:start w:w="125" w:type="dxa"/>
              <w:bottom w:w="105" w:type="dxa"/>
              <w:end w:w="125" w:type="dxa"/>
            </w:tcMar>
          </w:tcPr>
          <w:p>
            <w:r>
              <w:t>Generation Summary</w:t>
            </w:r>
          </w:p>
        </w:tc>
        <w:tc>
          <w:tcPr>
            <w:tcW w:type="dxa" w:w="4320"/>
            <w:vAlign w:val="center"/>
            <w:tcMar>
              <w:top w:w="105" w:type="dxa"/>
              <w:start w:w="125" w:type="dxa"/>
              <w:bottom w:w="105" w:type="dxa"/>
              <w:end w:w="125" w:type="dxa"/>
            </w:tcMar>
          </w:tcPr>
          <w:p>
            <w:r>
              <w:t>A short status message with counts and generation settings</w:t>
            </w:r>
          </w:p>
        </w:tc>
        <w:tc>
          <w:tcPr>
            <w:tcW w:type="dxa" w:w="3096"/>
            <w:vAlign w:val="center"/>
            <w:tcMar>
              <w:top w:w="105" w:type="dxa"/>
              <w:start w:w="125" w:type="dxa"/>
              <w:bottom w:w="105" w:type="dxa"/>
              <w:end w:w="125" w:type="dxa"/>
            </w:tcMar>
          </w:tcPr>
          <w:p>
            <w:r>
              <w:t>Confirming that Dry Run or generation completed</w:t>
            </w:r>
          </w:p>
        </w:tc>
      </w:tr>
      <w:tr>
        <w:trPr>
          <w:cantSplit w:val="true"/>
        </w:trPr>
        <w:tc>
          <w:tcPr>
            <w:tcW w:type="dxa" w:w="2376"/>
            <w:vAlign w:val="center"/>
            <w:tcMar>
              <w:top w:w="105" w:type="dxa"/>
              <w:start w:w="125" w:type="dxa"/>
              <w:bottom w:w="105" w:type="dxa"/>
              <w:end w:w="125" w:type="dxa"/>
            </w:tcMar>
            <w:shd w:fill="F5F7F9"/>
          </w:tcPr>
          <w:p>
            <w:r>
              <w:t>Prompt Preview</w:t>
            </w:r>
          </w:p>
        </w:tc>
        <w:tc>
          <w:tcPr>
            <w:tcW w:type="dxa" w:w="4320"/>
            <w:vAlign w:val="center"/>
            <w:tcMar>
              <w:top w:w="105" w:type="dxa"/>
              <w:start w:w="125" w:type="dxa"/>
              <w:bottom w:w="105" w:type="dxa"/>
              <w:end w:w="125" w:type="dxa"/>
            </w:tcMar>
            <w:shd w:fill="F5F7F9"/>
          </w:tcPr>
          <w:p>
            <w:r>
              <w:t>The system and first-batch user prompt</w:t>
            </w:r>
          </w:p>
        </w:tc>
        <w:tc>
          <w:tcPr>
            <w:tcW w:type="dxa" w:w="3096"/>
            <w:vAlign w:val="center"/>
            <w:tcMar>
              <w:top w:w="105" w:type="dxa"/>
              <w:start w:w="125" w:type="dxa"/>
              <w:bottom w:w="105" w:type="dxa"/>
              <w:end w:w="125" w:type="dxa"/>
            </w:tcMar>
            <w:shd w:fill="F5F7F9"/>
          </w:tcPr>
          <w:p>
            <w:r>
              <w:t>Reviewing exactly what instructions and sanitized examples will be sent</w:t>
            </w:r>
          </w:p>
        </w:tc>
      </w:tr>
      <w:tr>
        <w:trPr>
          <w:cantSplit w:val="true"/>
        </w:trPr>
        <w:tc>
          <w:tcPr>
            <w:tcW w:type="dxa" w:w="2376"/>
            <w:vAlign w:val="center"/>
            <w:tcMar>
              <w:top w:w="105" w:type="dxa"/>
              <w:start w:w="125" w:type="dxa"/>
              <w:bottom w:w="105" w:type="dxa"/>
              <w:end w:w="125" w:type="dxa"/>
            </w:tcMar>
          </w:tcPr>
          <w:p>
            <w:r>
              <w:t>Continuity Profile</w:t>
            </w:r>
          </w:p>
        </w:tc>
        <w:tc>
          <w:tcPr>
            <w:tcW w:type="dxa" w:w="4320"/>
            <w:vAlign w:val="center"/>
            <w:tcMar>
              <w:top w:w="105" w:type="dxa"/>
              <w:start w:w="125" w:type="dxa"/>
              <w:bottom w:w="105" w:type="dxa"/>
              <w:end w:w="125" w:type="dxa"/>
            </w:tcMar>
          </w:tcPr>
          <w:p>
            <w:r>
              <w:t>Final distributions and selected recent-record information</w:t>
            </w:r>
          </w:p>
        </w:tc>
        <w:tc>
          <w:tcPr>
            <w:tcW w:type="dxa" w:w="3096"/>
            <w:vAlign w:val="center"/>
            <w:tcMar>
              <w:top w:w="105" w:type="dxa"/>
              <w:start w:w="125" w:type="dxa"/>
              <w:bottom w:w="105" w:type="dxa"/>
              <w:end w:w="125" w:type="dxa"/>
            </w:tcMar>
          </w:tcPr>
          <w:p>
            <w:r>
              <w:t>Checking cross-batch consistency and broad balance</w:t>
            </w:r>
          </w:p>
        </w:tc>
      </w:tr>
    </w:tbl>
    <w:p>
      <w:pPr>
        <w:spacing w:after="0"/>
        <w:widowControl w:val="1"/>
      </w:pPr>
    </w:p>
    <w:p>
      <w:pPr>
        <w:widowControl w:val="1"/>
      </w:pPr>
      <w:r>
        <w:t>During Dry Run, Dataset DataFrame contains one status row instead of generated records, Dataset JSON contains run metadata, and Continuity Profile is empty. After generation, the outputs share the same generated result for that component build.</w:t>
      </w:r>
    </w:p>
    <w:p>
      <w:pPr>
        <w:pStyle w:val="Heading2"/>
        <w:keepNext/>
        <w:widowControl w:val="1"/>
      </w:pPr>
      <w:r>
        <w:t>What to inspect in a sample</w:t>
      </w:r>
    </w:p>
    <w:p>
      <w:pPr>
        <w:pStyle w:val="ListBullet"/>
        <w:widowControl w:val="1"/>
      </w:pPr>
      <w:r>
        <w:t>Every required field is present and uses the expected type.</w:t>
      </w:r>
    </w:p>
    <w:p>
      <w:pPr>
        <w:pStyle w:val="ListBullet"/>
        <w:widowControl w:val="1"/>
      </w:pPr>
      <w:r>
        <w:t>Identifiers are unique and clearly fictional.</w:t>
      </w:r>
    </w:p>
    <w:p>
      <w:pPr>
        <w:pStyle w:val="ListBullet"/>
        <w:widowControl w:val="1"/>
      </w:pPr>
      <w:r>
        <w:t>Dates, states, priorities, and resolution fields agree with one another.</w:t>
      </w:r>
    </w:p>
    <w:p>
      <w:pPr>
        <w:pStyle w:val="ListBullet"/>
        <w:widowControl w:val="1"/>
      </w:pPr>
      <w:r>
        <w:t>Categories and assignment groups follow the intended fictional taxonomy.</w:t>
      </w:r>
    </w:p>
    <w:p>
      <w:pPr>
        <w:pStyle w:val="ListBullet"/>
        <w:widowControl w:val="1"/>
      </w:pPr>
      <w:r>
        <w:t>The scenario distribution is close enough to the requested mix for the planned test.</w:t>
      </w:r>
    </w:p>
    <w:p>
      <w:pPr>
        <w:pStyle w:val="ListBullet"/>
        <w:widowControl w:val="1"/>
      </w:pPr>
      <w:r>
        <w:t>Descriptions do not reproduce source wording or contain sensitive information.</w:t>
      </w:r>
    </w:p>
    <w:p>
      <w:pPr>
        <w:pStyle w:val="ListBullet"/>
        <w:widowControl w:val="1"/>
      </w:pPr>
      <w:r>
        <w:t>Ground-truth fields are hidden before the dataset is sent to the agent being evaluated.</w:t>
      </w:r>
    </w:p>
    <w:p>
      <w:pPr>
        <w:pStyle w:val="Heading2"/>
        <w:keepNext/>
        <w:widowControl w:val="1"/>
      </w:pPr>
      <w:r>
        <w:t>Recommended downstream use</w:t>
      </w:r>
    </w:p>
    <w:p>
      <w:pPr>
        <w:widowControl w:val="1"/>
      </w:pPr>
      <w:r>
        <w:t>Use Dataset DataFrame when the next component expects a table. Use Dataset JSON when the next component expects structured data or when you need generation metadata. In the Know Your BAU flow, the full dataset goes to the evaluator while a separate holdout builder removes answer-bearing fields before the classification agent sees the tickets.</w:t>
      </w:r>
    </w:p>
    <w:p>
      <w:pPr>
        <w:pStyle w:val="Heading1"/>
        <w:keepNext/>
        <w:widowControl w:val="1"/>
      </w:pPr>
      <w:r>
        <w:t>10 Create a custom schema</w:t>
      </w:r>
    </w:p>
    <w:p>
      <w:pPr>
        <w:widowControl w:val="1"/>
      </w:pPr>
      <w:r>
        <w:t>Select Custom only when the built-in Incident, Change Request, and Service Request schemas do not meet the test. Then enter a table name and a nonempty JSON array of field definitions. Each field name must be unique.</w:t>
      </w:r>
    </w:p>
    <w:p>
      <w:pPr>
        <w:pStyle w:val="Code"/>
        <w:widowControl w:val="1"/>
      </w:pPr>
      <w:r>
        <w:t>[</w:t>
        <w:br/>
        <w:t xml:space="preserve">  {</w:t>
        <w:br/>
        <w:t xml:space="preserve">    "name": "number",</w:t>
        <w:br/>
        <w:t xml:space="preserve">    "type": "string",</w:t>
        <w:br/>
        <w:t xml:space="preserve">    "description": "Unique fictional ticket number such as TKT0012345."</w:t>
        <w:br/>
        <w:t xml:space="preserve">  },</w:t>
        <w:br/>
        <w:t xml:space="preserve">  {</w:t>
        <w:br/>
        <w:t xml:space="preserve">    "name": "priority",</w:t>
        <w:br/>
        <w:t xml:space="preserve">    "type": "integer",</w:t>
        <w:br/>
        <w:t xml:space="preserve">    "description": "Integer 1 through 5, consistent with impact and urgency."</w:t>
        <w:br/>
        <w:t xml:space="preserve">  }</w:t>
        <w:br/>
        <w:t>]</w:t>
      </w:r>
    </w:p>
    <w:p>
      <w:pPr>
        <w:widowControl w:val="1"/>
      </w:pPr>
      <w:r>
        <w:t>Each definition should include a name, type, and specific description. The component enforces the name and uniqueness rules. The prompt uses the type and description to guide the model, so unclear definitions produce less reliable data.</w:t>
      </w:r>
    </w:p>
    <w:p>
      <w:pPr>
        <w:pStyle w:val="Heading2"/>
        <w:keepNext/>
        <w:widowControl w:val="1"/>
      </w:pPr>
      <w:r>
        <w:t>Custom schema checklist</w:t>
      </w:r>
    </w:p>
    <w:p>
      <w:pPr>
        <w:pStyle w:val="ListBullet"/>
        <w:widowControl w:val="1"/>
      </w:pPr>
      <w:r>
        <w:t>Use stable, machine-friendly field names.</w:t>
      </w:r>
    </w:p>
    <w:p>
      <w:pPr>
        <w:pStyle w:val="ListBullet"/>
        <w:widowControl w:val="1"/>
      </w:pPr>
      <w:r>
        <w:t>Describe permitted values, null behavior, and relationships.</w:t>
      </w:r>
    </w:p>
    <w:p>
      <w:pPr>
        <w:pStyle w:val="ListBullet"/>
        <w:widowControl w:val="1"/>
      </w:pPr>
      <w:r>
        <w:t>Specify date formats and identifier patterns.</w:t>
      </w:r>
    </w:p>
    <w:p>
      <w:pPr>
        <w:pStyle w:val="ListBullet"/>
        <w:widowControl w:val="1"/>
      </w:pPr>
      <w:r>
        <w:t>Add underscore-prefixed expected fields only when you need ground truth for evaluation.</w:t>
      </w:r>
    </w:p>
    <w:p>
      <w:pPr>
        <w:pStyle w:val="ListBullet"/>
        <w:widowControl w:val="1"/>
      </w:pPr>
      <w:r>
        <w:t>Run Dry Run and inspect the complete prompt before generation.</w:t>
      </w:r>
    </w:p>
    <w:p>
      <w:pPr>
        <w:pStyle w:val="Heading1"/>
        <w:keepNext/>
        <w:widowControl w:val="1"/>
      </w:pPr>
      <w:r>
        <w:t>11 Troubleshoot generation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cantSplit w:val="true"/>
          <w:tblHeader w:val="true"/>
        </w:trPr>
        <w:tc>
          <w:tcPr>
            <w:tcW w:type="dxa" w:w="2448"/>
            <w:vAlign w:val="center"/>
            <w:shd w:fill="17365D"/>
            <w:tcMar>
              <w:top w:w="105" w:type="dxa"/>
              <w:start w:w="125" w:type="dxa"/>
              <w:bottom w:w="105" w:type="dxa"/>
              <w:end w:w="125" w:type="dxa"/>
            </w:tcMar>
          </w:tcPr>
          <w:p>
            <w:r>
              <w:rPr>
                <w:b/>
                <w:color w:val="FFFFFF"/>
              </w:rPr>
              <w:t>Problem</w:t>
            </w:r>
          </w:p>
        </w:tc>
        <w:tc>
          <w:tcPr>
            <w:tcW w:type="dxa" w:w="3240"/>
            <w:vAlign w:val="center"/>
            <w:shd w:fill="17365D"/>
            <w:tcMar>
              <w:top w:w="105" w:type="dxa"/>
              <w:start w:w="125" w:type="dxa"/>
              <w:bottom w:w="105" w:type="dxa"/>
              <w:end w:w="125" w:type="dxa"/>
            </w:tcMar>
          </w:tcPr>
          <w:p>
            <w:r>
              <w:rPr>
                <w:b/>
                <w:color w:val="FFFFFF"/>
              </w:rPr>
              <w:t>Likely reason</w:t>
            </w:r>
          </w:p>
        </w:tc>
        <w:tc>
          <w:tcPr>
            <w:tcW w:type="dxa" w:w="4104"/>
            <w:vAlign w:val="center"/>
            <w:shd w:fill="17365D"/>
            <w:tcMar>
              <w:top w:w="105" w:type="dxa"/>
              <w:start w:w="125" w:type="dxa"/>
              <w:bottom w:w="105" w:type="dxa"/>
              <w:end w:w="125" w:type="dxa"/>
            </w:tcMar>
          </w:tcPr>
          <w:p>
            <w:r>
              <w:rPr>
                <w:b/>
                <w:color w:val="FFFFFF"/>
              </w:rPr>
              <w:t>Action</w:t>
            </w:r>
          </w:p>
        </w:tc>
      </w:tr>
      <w:tr>
        <w:trPr>
          <w:cantSplit w:val="true"/>
        </w:trPr>
        <w:tc>
          <w:tcPr>
            <w:tcW w:type="dxa" w:w="2448"/>
            <w:vAlign w:val="center"/>
            <w:tcMar>
              <w:top w:w="105" w:type="dxa"/>
              <w:start w:w="125" w:type="dxa"/>
              <w:bottom w:w="105" w:type="dxa"/>
              <w:end w:w="125" w:type="dxa"/>
            </w:tcMar>
          </w:tcPr>
          <w:p>
            <w:r>
              <w:t>Base URL error</w:t>
            </w:r>
          </w:p>
        </w:tc>
        <w:tc>
          <w:tcPr>
            <w:tcW w:type="dxa" w:w="3240"/>
            <w:vAlign w:val="center"/>
            <w:tcMar>
              <w:top w:w="105" w:type="dxa"/>
              <w:start w:w="125" w:type="dxa"/>
              <w:bottom w:w="105" w:type="dxa"/>
              <w:end w:w="125" w:type="dxa"/>
            </w:tcMar>
          </w:tcPr>
          <w:p>
            <w:r>
              <w:t>No endpoint was entered or configured on the server</w:t>
            </w:r>
          </w:p>
        </w:tc>
        <w:tc>
          <w:tcPr>
            <w:tcW w:type="dxa" w:w="4104"/>
            <w:vAlign w:val="center"/>
            <w:tcMar>
              <w:top w:w="105" w:type="dxa"/>
              <w:start w:w="125" w:type="dxa"/>
              <w:bottom w:w="105" w:type="dxa"/>
              <w:end w:w="125" w:type="dxa"/>
            </w:tcMar>
          </w:tcPr>
          <w:p>
            <w:r>
              <w:t>Enter the OpenAI-compatible Base URL or ask the administrator about the environment variable</w:t>
            </w:r>
          </w:p>
        </w:tc>
      </w:tr>
      <w:tr>
        <w:trPr>
          <w:cantSplit w:val="true"/>
        </w:trPr>
        <w:tc>
          <w:tcPr>
            <w:tcW w:type="dxa" w:w="2448"/>
            <w:vAlign w:val="center"/>
            <w:tcMar>
              <w:top w:w="105" w:type="dxa"/>
              <w:start w:w="125" w:type="dxa"/>
              <w:bottom w:w="105" w:type="dxa"/>
              <w:end w:w="125" w:type="dxa"/>
            </w:tcMar>
            <w:shd w:fill="F5F7F9"/>
          </w:tcPr>
          <w:p>
            <w:r>
              <w:t>API Key error</w:t>
            </w:r>
          </w:p>
        </w:tc>
        <w:tc>
          <w:tcPr>
            <w:tcW w:type="dxa" w:w="3240"/>
            <w:vAlign w:val="center"/>
            <w:tcMar>
              <w:top w:w="105" w:type="dxa"/>
              <w:start w:w="125" w:type="dxa"/>
              <w:bottom w:w="105" w:type="dxa"/>
              <w:end w:w="125" w:type="dxa"/>
            </w:tcMar>
            <w:shd w:fill="F5F7F9"/>
          </w:tcPr>
          <w:p>
            <w:r>
              <w:t>No key was entered or configured on the server</w:t>
            </w:r>
          </w:p>
        </w:tc>
        <w:tc>
          <w:tcPr>
            <w:tcW w:type="dxa" w:w="4104"/>
            <w:vAlign w:val="center"/>
            <w:tcMar>
              <w:top w:w="105" w:type="dxa"/>
              <w:start w:w="125" w:type="dxa"/>
              <w:bottom w:w="105" w:type="dxa"/>
              <w:end w:w="125" w:type="dxa"/>
            </w:tcMar>
            <w:shd w:fill="F5F7F9"/>
          </w:tcPr>
          <w:p>
            <w:r>
              <w:t>Enter the approved key or ask the administrator about server configuration</w:t>
            </w:r>
          </w:p>
        </w:tc>
      </w:tr>
      <w:tr>
        <w:trPr>
          <w:cantSplit w:val="true"/>
        </w:trPr>
        <w:tc>
          <w:tcPr>
            <w:tcW w:type="dxa" w:w="2448"/>
            <w:vAlign w:val="center"/>
            <w:tcMar>
              <w:top w:w="105" w:type="dxa"/>
              <w:start w:w="125" w:type="dxa"/>
              <w:bottom w:w="105" w:type="dxa"/>
              <w:end w:w="125" w:type="dxa"/>
            </w:tcMar>
          </w:tcPr>
          <w:p>
            <w:r>
              <w:t>Invalid field JSON</w:t>
            </w:r>
          </w:p>
        </w:tc>
        <w:tc>
          <w:tcPr>
            <w:tcW w:type="dxa" w:w="3240"/>
            <w:vAlign w:val="center"/>
            <w:tcMar>
              <w:top w:w="105" w:type="dxa"/>
              <w:start w:w="125" w:type="dxa"/>
              <w:bottom w:w="105" w:type="dxa"/>
              <w:end w:w="125" w:type="dxa"/>
            </w:tcMar>
          </w:tcPr>
          <w:p>
            <w:r>
              <w:t>Field Definitions is not valid JSON or is not a nonempty array</w:t>
            </w:r>
          </w:p>
        </w:tc>
        <w:tc>
          <w:tcPr>
            <w:tcW w:type="dxa" w:w="4104"/>
            <w:vAlign w:val="center"/>
            <w:tcMar>
              <w:top w:w="105" w:type="dxa"/>
              <w:start w:w="125" w:type="dxa"/>
              <w:bottom w:w="105" w:type="dxa"/>
              <w:end w:w="125" w:type="dxa"/>
            </w:tcMar>
          </w:tcPr>
          <w:p>
            <w:r>
              <w:t>Correct commas, quotes, brackets, and field objects; then run Dry Run</w:t>
            </w:r>
          </w:p>
        </w:tc>
      </w:tr>
      <w:tr>
        <w:trPr>
          <w:cantSplit w:val="true"/>
        </w:trPr>
        <w:tc>
          <w:tcPr>
            <w:tcW w:type="dxa" w:w="2448"/>
            <w:vAlign w:val="center"/>
            <w:tcMar>
              <w:top w:w="105" w:type="dxa"/>
              <w:start w:w="125" w:type="dxa"/>
              <w:bottom w:w="105" w:type="dxa"/>
              <w:end w:w="125" w:type="dxa"/>
            </w:tcMar>
            <w:shd w:fill="F5F7F9"/>
          </w:tcPr>
          <w:p>
            <w:r>
              <w:t>Duplicate field name</w:t>
            </w:r>
          </w:p>
        </w:tc>
        <w:tc>
          <w:tcPr>
            <w:tcW w:type="dxa" w:w="3240"/>
            <w:vAlign w:val="center"/>
            <w:tcMar>
              <w:top w:w="105" w:type="dxa"/>
              <w:start w:w="125" w:type="dxa"/>
              <w:bottom w:w="105" w:type="dxa"/>
              <w:end w:w="125" w:type="dxa"/>
            </w:tcMar>
            <w:shd w:fill="F5F7F9"/>
          </w:tcPr>
          <w:p>
            <w:r>
              <w:t>Two definitions use the same name</w:t>
            </w:r>
          </w:p>
        </w:tc>
        <w:tc>
          <w:tcPr>
            <w:tcW w:type="dxa" w:w="4104"/>
            <w:vAlign w:val="center"/>
            <w:tcMar>
              <w:top w:w="105" w:type="dxa"/>
              <w:start w:w="125" w:type="dxa"/>
              <w:bottom w:w="105" w:type="dxa"/>
              <w:end w:w="125" w:type="dxa"/>
            </w:tcMar>
            <w:shd w:fill="F5F7F9"/>
          </w:tcPr>
          <w:p>
            <w:r>
              <w:t>Rename or remove one field</w:t>
            </w:r>
          </w:p>
        </w:tc>
      </w:tr>
      <w:tr>
        <w:trPr>
          <w:cantSplit w:val="true"/>
        </w:trPr>
        <w:tc>
          <w:tcPr>
            <w:tcW w:type="dxa" w:w="2448"/>
            <w:vAlign w:val="center"/>
            <w:tcMar>
              <w:top w:w="105" w:type="dxa"/>
              <w:start w:w="125" w:type="dxa"/>
              <w:bottom w:w="105" w:type="dxa"/>
              <w:end w:w="125" w:type="dxa"/>
            </w:tcMar>
          </w:tcPr>
          <w:p>
            <w:r>
              <w:t>Invalid reference JSON</w:t>
            </w:r>
          </w:p>
        </w:tc>
        <w:tc>
          <w:tcPr>
            <w:tcW w:type="dxa" w:w="3240"/>
            <w:vAlign w:val="center"/>
            <w:tcMar>
              <w:top w:w="105" w:type="dxa"/>
              <w:start w:w="125" w:type="dxa"/>
              <w:bottom w:w="105" w:type="dxa"/>
              <w:end w:w="125" w:type="dxa"/>
            </w:tcMar>
          </w:tcPr>
          <w:p>
            <w:r>
              <w:t>Examples are not an array or grouped object</w:t>
            </w:r>
          </w:p>
        </w:tc>
        <w:tc>
          <w:tcPr>
            <w:tcW w:type="dxa" w:w="4104"/>
            <w:vAlign w:val="center"/>
            <w:tcMar>
              <w:top w:w="105" w:type="dxa"/>
              <w:start w:w="125" w:type="dxa"/>
              <w:bottom w:w="105" w:type="dxa"/>
              <w:end w:w="125" w:type="dxa"/>
            </w:tcMar>
          </w:tcPr>
          <w:p>
            <w:r>
              <w:t>Correct the JSON structure and run Dry Run</w:t>
            </w:r>
          </w:p>
        </w:tc>
      </w:tr>
      <w:tr>
        <w:trPr>
          <w:cantSplit w:val="true"/>
        </w:trPr>
        <w:tc>
          <w:tcPr>
            <w:tcW w:type="dxa" w:w="2448"/>
            <w:vAlign w:val="center"/>
            <w:tcMar>
              <w:top w:w="105" w:type="dxa"/>
              <w:start w:w="125" w:type="dxa"/>
              <w:bottom w:w="105" w:type="dxa"/>
              <w:end w:w="125" w:type="dxa"/>
            </w:tcMar>
            <w:shd w:fill="F5F7F9"/>
          </w:tcPr>
          <w:p>
            <w:r>
              <w:t>Empty model response</w:t>
            </w:r>
          </w:p>
        </w:tc>
        <w:tc>
          <w:tcPr>
            <w:tcW w:type="dxa" w:w="3240"/>
            <w:vAlign w:val="center"/>
            <w:tcMar>
              <w:top w:w="105" w:type="dxa"/>
              <w:start w:w="125" w:type="dxa"/>
              <w:bottom w:w="105" w:type="dxa"/>
              <w:end w:w="125" w:type="dxa"/>
            </w:tcMar>
            <w:shd w:fill="F5F7F9"/>
          </w:tcPr>
          <w:p>
            <w:r>
              <w:t>The endpoint returned no usable content</w:t>
            </w:r>
          </w:p>
        </w:tc>
        <w:tc>
          <w:tcPr>
            <w:tcW w:type="dxa" w:w="4104"/>
            <w:vAlign w:val="center"/>
            <w:tcMar>
              <w:top w:w="105" w:type="dxa"/>
              <w:start w:w="125" w:type="dxa"/>
              <w:bottom w:w="105" w:type="dxa"/>
              <w:end w:w="125" w:type="dxa"/>
            </w:tcMar>
            <w:shd w:fill="F5F7F9"/>
          </w:tcPr>
          <w:p>
            <w:r>
              <w:t>Confirm model availability, endpoint logs, and timeout behavior</w:t>
            </w:r>
          </w:p>
        </w:tc>
      </w:tr>
      <w:tr>
        <w:trPr>
          <w:cantSplit w:val="true"/>
        </w:trPr>
        <w:tc>
          <w:tcPr>
            <w:tcW w:type="dxa" w:w="2448"/>
            <w:vAlign w:val="center"/>
            <w:tcMar>
              <w:top w:w="105" w:type="dxa"/>
              <w:start w:w="125" w:type="dxa"/>
              <w:bottom w:w="105" w:type="dxa"/>
              <w:end w:w="125" w:type="dxa"/>
            </w:tcMar>
          </w:tcPr>
          <w:p>
            <w:r>
              <w:t>No records array</w:t>
            </w:r>
          </w:p>
        </w:tc>
        <w:tc>
          <w:tcPr>
            <w:tcW w:type="dxa" w:w="3240"/>
            <w:vAlign w:val="center"/>
            <w:tcMar>
              <w:top w:w="105" w:type="dxa"/>
              <w:start w:w="125" w:type="dxa"/>
              <w:bottom w:w="105" w:type="dxa"/>
              <w:end w:w="125" w:type="dxa"/>
            </w:tcMar>
          </w:tcPr>
          <w:p>
            <w:r>
              <w:t>The model did not follow the required output shape</w:t>
            </w:r>
          </w:p>
        </w:tc>
        <w:tc>
          <w:tcPr>
            <w:tcW w:type="dxa" w:w="4104"/>
            <w:vAlign w:val="center"/>
            <w:tcMar>
              <w:top w:w="105" w:type="dxa"/>
              <w:start w:w="125" w:type="dxa"/>
              <w:bottom w:w="105" w:type="dxa"/>
              <w:end w:w="125" w:type="dxa"/>
            </w:tcMar>
          </w:tcPr>
          <w:p>
            <w:r>
              <w:t>Reduce batch size, strengthen field descriptions, or try a more reliable model</w:t>
            </w:r>
          </w:p>
        </w:tc>
      </w:tr>
      <w:tr>
        <w:trPr>
          <w:cantSplit w:val="true"/>
        </w:trPr>
        <w:tc>
          <w:tcPr>
            <w:tcW w:type="dxa" w:w="2448"/>
            <w:vAlign w:val="center"/>
            <w:tcMar>
              <w:top w:w="105" w:type="dxa"/>
              <w:start w:w="125" w:type="dxa"/>
              <w:bottom w:w="105" w:type="dxa"/>
              <w:end w:w="125" w:type="dxa"/>
            </w:tcMar>
            <w:shd w:fill="F5F7F9"/>
          </w:tcPr>
          <w:p>
            <w:r>
              <w:t>Too few unique records</w:t>
            </w:r>
          </w:p>
        </w:tc>
        <w:tc>
          <w:tcPr>
            <w:tcW w:type="dxa" w:w="3240"/>
            <w:vAlign w:val="center"/>
            <w:tcMar>
              <w:top w:w="105" w:type="dxa"/>
              <w:start w:w="125" w:type="dxa"/>
              <w:bottom w:w="105" w:type="dxa"/>
              <w:end w:w="125" w:type="dxa"/>
            </w:tcMar>
            <w:shd w:fill="F5F7F9"/>
          </w:tcPr>
          <w:p>
            <w:r>
              <w:t>The model repeated records or returned short batches after retries</w:t>
            </w:r>
          </w:p>
        </w:tc>
        <w:tc>
          <w:tcPr>
            <w:tcW w:type="dxa" w:w="4104"/>
            <w:vAlign w:val="center"/>
            <w:tcMar>
              <w:top w:w="105" w:type="dxa"/>
              <w:start w:w="125" w:type="dxa"/>
              <w:bottom w:w="105" w:type="dxa"/>
              <w:end w:w="125" w:type="dxa"/>
            </w:tcMar>
            <w:shd w:fill="F5F7F9"/>
          </w:tcPr>
          <w:p>
            <w:r>
              <w:t>Reduce batch size, improve scenario guidance, or change the model</w:t>
            </w:r>
          </w:p>
        </w:tc>
      </w:tr>
      <w:tr>
        <w:trPr>
          <w:cantSplit w:val="true"/>
        </w:trPr>
        <w:tc>
          <w:tcPr>
            <w:tcW w:type="dxa" w:w="2448"/>
            <w:vAlign w:val="center"/>
            <w:tcMar>
              <w:top w:w="105" w:type="dxa"/>
              <w:start w:w="125" w:type="dxa"/>
              <w:bottom w:w="105" w:type="dxa"/>
              <w:end w:w="125" w:type="dxa"/>
            </w:tcMar>
          </w:tcPr>
          <w:p>
            <w:r>
              <w:t>Slow generation</w:t>
            </w:r>
          </w:p>
        </w:tc>
        <w:tc>
          <w:tcPr>
            <w:tcW w:type="dxa" w:w="3240"/>
            <w:vAlign w:val="center"/>
            <w:tcMar>
              <w:top w:w="105" w:type="dxa"/>
              <w:start w:w="125" w:type="dxa"/>
              <w:bottom w:w="105" w:type="dxa"/>
              <w:end w:w="125" w:type="dxa"/>
            </w:tcMar>
          </w:tcPr>
          <w:p>
            <w:r>
              <w:t>Large batches, sequential continuity, or the model server is slow</w:t>
            </w:r>
          </w:p>
        </w:tc>
        <w:tc>
          <w:tcPr>
            <w:tcW w:type="dxa" w:w="4104"/>
            <w:vAlign w:val="center"/>
            <w:tcMar>
              <w:top w:w="105" w:type="dxa"/>
              <w:start w:w="125" w:type="dxa"/>
              <w:bottom w:w="105" w:type="dxa"/>
              <w:end w:w="125" w:type="dxa"/>
            </w:tcMar>
          </w:tcPr>
          <w:p>
            <w:r>
              <w:t>Test smaller counts; disable continuity only if parallel calls are supported</w:t>
            </w:r>
          </w:p>
        </w:tc>
      </w:tr>
      <w:tr>
        <w:trPr>
          <w:cantSplit w:val="true"/>
        </w:trPr>
        <w:tc>
          <w:tcPr>
            <w:tcW w:type="dxa" w:w="2448"/>
            <w:vAlign w:val="center"/>
            <w:tcMar>
              <w:top w:w="105" w:type="dxa"/>
              <w:start w:w="125" w:type="dxa"/>
              <w:bottom w:w="105" w:type="dxa"/>
              <w:end w:w="125" w:type="dxa"/>
            </w:tcMar>
            <w:shd w:fill="F5F7F9"/>
          </w:tcPr>
          <w:p>
            <w:r>
              <w:t>Inconsistent values</w:t>
            </w:r>
          </w:p>
        </w:tc>
        <w:tc>
          <w:tcPr>
            <w:tcW w:type="dxa" w:w="3240"/>
            <w:vAlign w:val="center"/>
            <w:tcMar>
              <w:top w:w="105" w:type="dxa"/>
              <w:start w:w="125" w:type="dxa"/>
              <w:bottom w:w="105" w:type="dxa"/>
              <w:end w:w="125" w:type="dxa"/>
            </w:tcMar>
            <w:shd w:fill="F5F7F9"/>
          </w:tcPr>
          <w:p>
            <w:r>
              <w:t>The prompt or model did not enforce relationships reliably</w:t>
            </w:r>
          </w:p>
        </w:tc>
        <w:tc>
          <w:tcPr>
            <w:tcW w:type="dxa" w:w="4104"/>
            <w:vAlign w:val="center"/>
            <w:tcMar>
              <w:top w:w="105" w:type="dxa"/>
              <w:start w:w="125" w:type="dxa"/>
              <w:bottom w:w="105" w:type="dxa"/>
              <w:end w:w="125" w:type="dxa"/>
            </w:tcMar>
            <w:shd w:fill="F5F7F9"/>
          </w:tcPr>
          <w:p>
            <w:r>
              <w:t>Clarify the context and field descriptions, lower temperature, and regenerate a small sample</w:t>
            </w:r>
          </w:p>
        </w:tc>
      </w:tr>
    </w:tbl>
    <w:p>
      <w:pPr>
        <w:spacing w:after="0"/>
        <w:widowControl w:val="1"/>
      </w:pPr>
    </w:p>
    <w:p>
      <w:pPr>
        <w:pStyle w:val="Heading2"/>
        <w:keepNext/>
        <w:widowControl w:val="1"/>
      </w:pPr>
      <w:r>
        <w:t>A reliable recovery sequence</w:t>
      </w:r>
    </w:p>
    <w:p>
      <w:pPr>
        <w:spacing w:after="60"/>
        <w:ind w:left="403" w:hanging="288"/>
        <w:widowControl w:val="1"/>
      </w:pPr>
      <w:r>
        <w:rPr>
          <w:b/>
        </w:rPr>
        <w:t xml:space="preserve">1. </w:t>
      </w:r>
      <w:r>
        <w:t>Re-enable Dry Run.</w:t>
      </w:r>
    </w:p>
    <w:p>
      <w:pPr>
        <w:spacing w:after="60"/>
        <w:ind w:left="403" w:hanging="288"/>
        <w:widowControl w:val="1"/>
      </w:pPr>
      <w:r>
        <w:rPr>
          <w:b/>
        </w:rPr>
        <w:t xml:space="preserve">2. </w:t>
      </w:r>
      <w:r>
        <w:t>Reduce Number of Records and Records per Generation Call.</w:t>
      </w:r>
    </w:p>
    <w:p>
      <w:pPr>
        <w:spacing w:after="60"/>
        <w:ind w:left="403" w:hanging="288"/>
        <w:widowControl w:val="1"/>
      </w:pPr>
      <w:r>
        <w:rPr>
          <w:b/>
        </w:rPr>
        <w:t xml:space="preserve">3. </w:t>
      </w:r>
      <w:r>
        <w:t>Read the full Prompt Preview.</w:t>
      </w:r>
    </w:p>
    <w:p>
      <w:pPr>
        <w:spacing w:after="60"/>
        <w:ind w:left="403" w:hanging="288"/>
        <w:widowControl w:val="1"/>
      </w:pPr>
      <w:r>
        <w:rPr>
          <w:b/>
        </w:rPr>
        <w:t xml:space="preserve">4. </w:t>
      </w:r>
      <w:r>
        <w:t>Correct the first invalid setting or unclear instruction.</w:t>
      </w:r>
    </w:p>
    <w:p>
      <w:pPr>
        <w:spacing w:after="60"/>
        <w:ind w:left="403" w:hanging="288"/>
        <w:widowControl w:val="1"/>
      </w:pPr>
      <w:r>
        <w:rPr>
          <w:b/>
        </w:rPr>
        <w:t xml:space="preserve">5. </w:t>
      </w:r>
      <w:r>
        <w:t>Generate five records and inspect all outputs.</w:t>
      </w:r>
    </w:p>
    <w:p>
      <w:pPr>
        <w:spacing w:after="60"/>
        <w:ind w:left="403" w:hanging="288"/>
        <w:widowControl w:val="1"/>
      </w:pPr>
      <w:r>
        <w:rPr>
          <w:b/>
        </w:rPr>
        <w:t xml:space="preserve">6. </w:t>
      </w:r>
      <w:r>
        <w:t>Increase the workload only after the small run succeeds.</w:t>
      </w:r>
    </w:p>
    <w:p>
      <w:pPr>
        <w:widowControl w:val="1"/>
      </w:pPr>
      <w:r>
        <w:br w:type="page"/>
      </w:r>
    </w:p>
    <w:p>
      <w:pPr>
        <w:pStyle w:val="Heading1"/>
        <w:keepNext/>
        <w:widowControl w:val="1"/>
      </w:pPr>
      <w:r>
        <w:t>12 Complete the final checks</w:t>
      </w:r>
    </w:p>
    <w:p>
      <w:pPr>
        <w:pStyle w:val="Heading2"/>
        <w:keepNext/>
        <w:widowControl w:val="1"/>
      </w:pPr>
      <w:r>
        <w:t>Before generation</w:t>
      </w:r>
    </w:p>
    <w:p>
      <w:pPr>
        <w:pStyle w:val="ListBullet"/>
        <w:widowControl w:val="1"/>
      </w:pPr>
      <w:r>
        <w:t>Dry Run completed without an error.</w:t>
      </w:r>
    </w:p>
    <w:p>
      <w:pPr>
        <w:pStyle w:val="ListBullet"/>
        <w:widowControl w:val="1"/>
      </w:pPr>
      <w:r>
        <w:t>The prompt contains no secrets or unapproved data.</w:t>
      </w:r>
    </w:p>
    <w:p>
      <w:pPr>
        <w:pStyle w:val="ListBullet"/>
        <w:widowControl w:val="1"/>
      </w:pPr>
      <w:r>
        <w:t>The record type and field definitions match the test goal.</w:t>
      </w:r>
    </w:p>
    <w:p>
      <w:pPr>
        <w:pStyle w:val="ListBullet"/>
        <w:widowControl w:val="1"/>
      </w:pPr>
      <w:r>
        <w:t>The scenario mix includes the cases the system must handle.</w:t>
      </w:r>
    </w:p>
    <w:p>
      <w:pPr>
        <w:pStyle w:val="ListBullet"/>
        <w:widowControl w:val="1"/>
      </w:pPr>
      <w:r>
        <w:t>The endpoint, key, and model are approved for this data.</w:t>
      </w:r>
    </w:p>
    <w:p>
      <w:pPr>
        <w:pStyle w:val="Heading2"/>
        <w:keepNext/>
        <w:widowControl w:val="1"/>
      </w:pPr>
      <w:r>
        <w:t>After generation</w:t>
      </w:r>
    </w:p>
    <w:p>
      <w:pPr>
        <w:pStyle w:val="ListBullet"/>
        <w:widowControl w:val="1"/>
      </w:pPr>
      <w:r>
        <w:t>The output contains the requested number of records.</w:t>
      </w:r>
    </w:p>
    <w:p>
      <w:pPr>
        <w:pStyle w:val="ListBullet"/>
        <w:widowControl w:val="1"/>
      </w:pPr>
      <w:r>
        <w:t>A complete small sample has been reviewed manually.</w:t>
      </w:r>
    </w:p>
    <w:p>
      <w:pPr>
        <w:pStyle w:val="ListBullet"/>
        <w:widowControl w:val="1"/>
      </w:pPr>
      <w:r>
        <w:t>Identifiers and content are fictional.</w:t>
      </w:r>
    </w:p>
    <w:p>
      <w:pPr>
        <w:pStyle w:val="ListBullet"/>
        <w:widowControl w:val="1"/>
      </w:pPr>
      <w:r>
        <w:t>Field relationships and scenario labels are credible.</w:t>
      </w:r>
    </w:p>
    <w:p>
      <w:pPr>
        <w:pStyle w:val="ListBullet"/>
        <w:widowControl w:val="1"/>
      </w:pPr>
      <w:r>
        <w:t>Ground-truth fields will not be exposed to the system under test.</w:t>
      </w:r>
    </w:p>
    <w:p>
      <w:pPr>
        <w:pStyle w:val="ListBullet"/>
        <w:widowControl w:val="1"/>
      </w:pPr>
      <w:r>
        <w:t>The generated dataset is stored and shared according to project rules.</w:t>
      </w:r>
    </w:p>
    <w:p>
      <w:pPr>
        <w:pStyle w:val="Heading2"/>
        <w:keepNext/>
        <w:widowControl w:val="1"/>
      </w:pPr>
      <w:r>
        <w:t>Suggested first exercise</w:t>
      </w:r>
    </w:p>
    <w:p>
      <w:pPr>
        <w:spacing w:after="60"/>
        <w:ind w:left="403" w:hanging="288"/>
        <w:widowControl w:val="1"/>
      </w:pPr>
      <w:r>
        <w:rPr>
          <w:b/>
        </w:rPr>
        <w:t xml:space="preserve">1. </w:t>
      </w:r>
      <w:r>
        <w:t>Import the generator flow and select Incident.</w:t>
      </w:r>
    </w:p>
    <w:p>
      <w:pPr>
        <w:spacing w:after="60"/>
        <w:ind w:left="403" w:hanging="288"/>
        <w:widowControl w:val="1"/>
      </w:pPr>
      <w:r>
        <w:rPr>
          <w:b/>
        </w:rPr>
        <w:t xml:space="preserve">2. </w:t>
      </w:r>
      <w:r>
        <w:t>Keep Dry Run enabled and request five records.</w:t>
      </w:r>
    </w:p>
    <w:p>
      <w:pPr>
        <w:spacing w:after="60"/>
        <w:ind w:left="403" w:hanging="288"/>
        <w:widowControl w:val="1"/>
      </w:pPr>
      <w:r>
        <w:rPr>
          <w:b/>
        </w:rPr>
        <w:t xml:space="preserve">3. </w:t>
      </w:r>
      <w:r>
        <w:t>Add one harmless scenario instruction, such as including an incomplete description.</w:t>
      </w:r>
    </w:p>
    <w:p>
      <w:pPr>
        <w:spacing w:after="60"/>
        <w:ind w:left="403" w:hanging="288"/>
        <w:widowControl w:val="1"/>
      </w:pPr>
      <w:r>
        <w:rPr>
          <w:b/>
        </w:rPr>
        <w:t xml:space="preserve">4. </w:t>
      </w:r>
      <w:r>
        <w:t>Run and inspect Prompt Preview.</w:t>
      </w:r>
    </w:p>
    <w:p>
      <w:pPr>
        <w:spacing w:after="60"/>
        <w:ind w:left="403" w:hanging="288"/>
        <w:widowControl w:val="1"/>
      </w:pPr>
      <w:r>
        <w:rPr>
          <w:b/>
        </w:rPr>
        <w:t xml:space="preserve">5. </w:t>
      </w:r>
      <w:r>
        <w:t>Configure the approved model connection, disable Dry Run, and generate the sample.</w:t>
      </w:r>
    </w:p>
    <w:p>
      <w:pPr>
        <w:spacing w:after="60"/>
        <w:ind w:left="403" w:hanging="288"/>
        <w:widowControl w:val="1"/>
      </w:pPr>
      <w:r>
        <w:rPr>
          <w:b/>
        </w:rPr>
        <w:t xml:space="preserve">6. </w:t>
      </w:r>
      <w:r>
        <w:t>Inspect Dataset DataFrame and explain why each priority, state, and assignment group is plausible.</w:t>
      </w:r>
    </w:p>
    <w:p>
      <w:pPr>
        <w:ind w:left="288" w:right="288"/>
        <w:widowControl w:val="1"/>
      </w:pPr>
      <w:r>
        <w:rPr>
          <w:b/>
        </w:rPr>
        <w:t xml:space="preserve">Next step </w:t>
      </w:r>
      <w:r>
        <w:t>After the sample passes review, connect Dataset DataFrame to the holdout and evaluation components in know_your_bau_flow.json to test an agent without exposing the hidden expected fields.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7"/>
      </w:rPr>
      <w:t xml:space="preserve">Synthetic ITSM Data Generator User Guide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60"/>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line="240" w:lineRule="auto"/>
      <w:ind w:left="360" w:right="216"/>
    </w:pPr>
    <w:rPr>
      <w:rFonts w:ascii="Aptos Mono" w:hAnsi="Aptos Mon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ITSM Data Generator User Guide</dc:title>
  <dc:subject>End user instructions for generating synthetic ServiceNow test data in Langflow</dc:subject>
  <dc:creator>Langflow project team</dc:creator>
  <cp:keywords>Langflow, synthetic data, mock data, ServiceNow, ITSM, user guide</cp:keywords>
  <dc:description>generated by python-docx</dc:description>
  <cp:lastModifiedBy/>
  <cp:revision>1</cp:revision>
  <dcterms:created xsi:type="dcterms:W3CDTF">2013-12-23T23:15:00Z</dcterms:created>
  <dcterms:modified xsi:type="dcterms:W3CDTF">2013-12-23T23:15:00Z</dcterms:modified>
  <cp:category/>
</cp:coreProperties>
</file>