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Automatic Rule Provisioning Mock Dataset</w:t>
      </w:r>
    </w:p>
    <w:p>
      <w:pPr>
        <w:spacing w:after="60"/>
      </w:pPr>
      <w:r>
        <w:rPr>
          <w:rFonts w:ascii="Aptos" w:hAnsi="Aptos"/>
          <w:b/>
          <w:color w:val="17365D"/>
          <w:sz w:val="22"/>
        </w:rPr>
        <w:t>Hackathon Participant Data Guide</w:t>
      </w:r>
    </w:p>
    <w:p>
      <w:pPr>
        <w:spacing w:after="240"/>
      </w:pPr>
      <w:r>
        <w:rPr>
          <w:rFonts w:ascii="Aptos" w:hAnsi="Aptos"/>
          <w:color w:val="595959"/>
          <w:sz w:val="17"/>
        </w:rPr>
        <w:t>Source README  data/automatic_rule_provisioning/README.md</w:t>
      </w:r>
    </w:p>
    <w:p>
      <w:r>
        <w:rPr>
          <w:b w:val="0"/>
        </w:rPr>
        <w:t>This dataset tests an agent that reacts when a server is added to an application pool and decides whether to create matching Illumio and perimeter/internal-firewall policy.</w:t>
      </w:r>
    </w:p>
    <w:p>
      <w:pPr>
        <w:pStyle w:val="Heading1"/>
      </w:pPr>
      <w:r>
        <w:t>Files</w:t>
      </w:r>
    </w:p>
    <w:p>
      <w:pPr>
        <w:pStyle w:val="ListBullet"/>
        <w:keepNext/>
        <w:spacing w:after="40"/>
      </w:pPr>
      <w:r>
        <w:rPr>
          <w:rFonts w:ascii="Consolas" w:hAnsi="Consolas"/>
          <w:color w:val="2D2D2D"/>
          <w:sz w:val="18"/>
        </w:rPr>
        <w:t>provisioning_test_cases.json</w:t>
      </w:r>
      <w:r>
        <w:rPr>
          <w:b w:val="0"/>
        </w:rPr>
        <w:t xml:space="preserve"> contains 12 self-contained test cases. Input fields are visible to the agent; fields beginning with </w:t>
      </w:r>
      <w:r>
        <w:rPr>
          <w:rFonts w:ascii="Consolas" w:hAnsi="Consolas"/>
          <w:color w:val="2D2D2D"/>
          <w:sz w:val="18"/>
        </w:rPr>
        <w:t>_expected_</w:t>
      </w:r>
      <w:r>
        <w:rPr>
          <w:b w:val="0"/>
        </w:rPr>
        <w:t xml:space="preserve"> are hidden ground truth.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generator_profile.json</w:t>
      </w:r>
      <w:r>
        <w:rPr>
          <w:b w:val="0"/>
        </w:rPr>
        <w:t xml:space="preserve"> contains a Custom-schema configuration that can be copied into the Synthetic ITSM Dataset Generator to create a larger dataset with the same semantics.</w:t>
      </w:r>
    </w:p>
    <w:p>
      <w:pPr>
        <w:pStyle w:val="Heading1"/>
      </w:pPr>
      <w:r>
        <w:t>JSON data dictionary</w:t>
      </w:r>
    </w:p>
    <w:p>
      <w:pPr>
        <w:pStyle w:val="Heading2"/>
      </w:pPr>
      <w:r>
        <w:t>Provisioning test cases JSON</w:t>
      </w:r>
    </w:p>
    <w:p>
      <w:r>
        <w:rPr>
          <w:b w:val="0"/>
        </w:rPr>
        <w:t>The file is a JSON array. Each object is one independent provisioning event and contains: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case_id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 xml:space="preserve">Unique evaluation identifier such as </w:t>
            </w:r>
            <w:r>
              <w:rPr>
                <w:rFonts w:ascii="Consolas" w:hAnsi="Consolas"/>
                <w:color w:val="2D2D2D"/>
                <w:sz w:val="18"/>
              </w:rPr>
              <w:t>ARP-001</w:t>
            </w:r>
            <w:r>
              <w:rPr>
                <w:rFonts w:ascii="Aptos" w:hAnsi="Aptos"/>
                <w:b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_test_scenario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 xml:space="preserve">Scenario grouping: </w:t>
            </w:r>
            <w:r>
              <w:rPr>
                <w:rFonts w:ascii="Consolas" w:hAnsi="Consolas"/>
                <w:color w:val="2D2D2D"/>
                <w:sz w:val="18"/>
              </w:rPr>
              <w:t>happy_path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idempotent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partial_state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invalid_input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dependency_failure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conflict</w:t>
            </w:r>
            <w:r>
              <w:rPr>
                <w:rFonts w:ascii="Aptos" w:hAnsi="Aptos"/>
                <w:b w:val="0"/>
                <w:sz w:val="18"/>
              </w:rPr>
              <w:t xml:space="preserve">, or </w:t>
            </w:r>
            <w:r>
              <w:rPr>
                <w:rFonts w:ascii="Consolas" w:hAnsi="Consolas"/>
                <w:color w:val="2D2D2D"/>
                <w:sz w:val="18"/>
              </w:rPr>
              <w:t>multi_flow</w:t>
            </w:r>
            <w:r>
              <w:rPr>
                <w:rFonts w:ascii="Aptos" w:hAnsi="Aptos"/>
                <w:b w:val="0"/>
                <w:sz w:val="18"/>
              </w:rPr>
              <w:t>. Keep for reporting, but it may be hidden if it gives the agent too much guidance.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membership_event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object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The server-to-pool event that triggered automation.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server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object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CMDB, network, ownership, and Illumio state for the affected server.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application_pool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object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Application pool metadata and the labels used to build policy.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approved_connectivity_intents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array of objects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The only flows that are authorized for provisioning.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existing_state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object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Relevant Illumio and firewall rules already present before the event.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_expected_decision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Ground-truth provisioning decision.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_expected_actions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array of strings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Ordered actions the automation should take.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_expected_illumio_rules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array of objects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Normalized Illumio rules expected to be created.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_expected_firewall_rules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array of objects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Normalized firewall rules expected to be created.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_expected_reason_code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Stable explanation category used for scoring.</w:t>
            </w:r>
          </w:p>
        </w:tc>
      </w:tr>
    </w:tbl>
    <w:p>
      <w:pPr>
        <w:spacing w:after="40"/>
      </w:pPr>
    </w:p>
    <w:p>
      <w:pPr>
        <w:pStyle w:val="Heading3"/>
      </w:pPr>
      <w:r>
        <w:t>Nested input fields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membership_event</w:t>
      </w:r>
      <w:r>
        <w:rPr>
          <w:b w:val="0"/>
        </w:rPr>
        <w:t xml:space="preserve">: </w:t>
      </w:r>
      <w:r>
        <w:rPr>
          <w:rFonts w:ascii="Consolas" w:hAnsi="Consolas"/>
          <w:color w:val="2D2D2D"/>
          <w:sz w:val="18"/>
        </w:rPr>
        <w:t>event_id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event_type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server_id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pool_id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occurred_at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approved_change_id</w:t>
      </w:r>
      <w:r>
        <w:rPr>
          <w:b w:val="0"/>
        </w:rPr>
        <w:t xml:space="preserve">, and retry-safe </w:t>
      </w:r>
      <w:r>
        <w:rPr>
          <w:rFonts w:ascii="Consolas" w:hAnsi="Consolas"/>
          <w:color w:val="2D2D2D"/>
          <w:sz w:val="18"/>
        </w:rPr>
        <w:t>idempotency_key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server</w:t>
      </w:r>
      <w:r>
        <w:rPr>
          <w:b w:val="0"/>
        </w:rPr>
        <w:t xml:space="preserve">: </w:t>
      </w:r>
      <w:r>
        <w:rPr>
          <w:rFonts w:ascii="Consolas" w:hAnsi="Consolas"/>
          <w:color w:val="2D2D2D"/>
          <w:sz w:val="18"/>
        </w:rPr>
        <w:t>server_id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hostname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ip_address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environment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location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network_zone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owner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illumio_workload_id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ven_state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cmdb_status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application_pool</w:t>
      </w:r>
      <w:r>
        <w:rPr>
          <w:b w:val="0"/>
        </w:rPr>
        <w:t xml:space="preserve">: </w:t>
      </w:r>
      <w:r>
        <w:rPr>
          <w:rFonts w:ascii="Consolas" w:hAnsi="Consolas"/>
          <w:color w:val="2D2D2D"/>
          <w:sz w:val="18"/>
        </w:rPr>
        <w:t>pool_id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application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environment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role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owner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lifecycle_state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security_tier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labels</w:t>
      </w:r>
      <w:r>
        <w:rPr>
          <w:b w:val="0"/>
        </w:rPr>
        <w:t xml:space="preserve">. Labels normally contain </w:t>
      </w:r>
      <w:r>
        <w:rPr>
          <w:rFonts w:ascii="Consolas" w:hAnsi="Consolas"/>
          <w:color w:val="2D2D2D"/>
          <w:sz w:val="18"/>
        </w:rPr>
        <w:t>app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env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role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loc</w:t>
      </w:r>
      <w:r>
        <w:rPr>
          <w:b w:val="0"/>
        </w:rPr>
        <w:t>.</w:t>
      </w:r>
    </w:p>
    <w:p>
      <w:pPr>
        <w:pStyle w:val="ListBullet"/>
        <w:keepNext/>
        <w:spacing w:after="40"/>
      </w:pPr>
      <w:r>
        <w:rPr>
          <w:b w:val="0"/>
        </w:rPr>
        <w:t xml:space="preserve">Each </w:t>
      </w:r>
      <w:r>
        <w:rPr>
          <w:rFonts w:ascii="Consolas" w:hAnsi="Consolas"/>
          <w:color w:val="2D2D2D"/>
          <w:sz w:val="18"/>
        </w:rPr>
        <w:t>approved_connectivity_intents</w:t>
      </w:r>
      <w:r>
        <w:rPr>
          <w:b w:val="0"/>
        </w:rPr>
        <w:t xml:space="preserve"> item: </w:t>
      </w:r>
      <w:r>
        <w:rPr>
          <w:rFonts w:ascii="Consolas" w:hAnsi="Consolas"/>
          <w:color w:val="2D2D2D"/>
          <w:sz w:val="18"/>
        </w:rPr>
        <w:t>intent_id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status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direction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source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destination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protocol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port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source_zone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destination_zone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business_purpose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existing_state</w:t>
      </w:r>
      <w:r>
        <w:rPr>
          <w:b w:val="0"/>
        </w:rPr>
        <w:t xml:space="preserve">: </w:t>
      </w:r>
      <w:r>
        <w:rPr>
          <w:rFonts w:ascii="Consolas" w:hAnsi="Consolas"/>
          <w:color w:val="2D2D2D"/>
          <w:sz w:val="18"/>
        </w:rPr>
        <w:t>illumio_rules</w:t>
      </w:r>
      <w:r>
        <w:rPr>
          <w:b w:val="0"/>
        </w:rPr>
        <w:t xml:space="preserve"> and </w:t>
      </w:r>
      <w:r>
        <w:rPr>
          <w:rFonts w:ascii="Consolas" w:hAnsi="Consolas"/>
          <w:color w:val="2D2D2D"/>
          <w:sz w:val="18"/>
        </w:rPr>
        <w:t>firewall_rules</w:t>
      </w:r>
      <w:r>
        <w:rPr>
          <w:b w:val="0"/>
        </w:rPr>
        <w:t xml:space="preserve">. Existing rules may contain </w:t>
      </w:r>
      <w:r>
        <w:rPr>
          <w:rFonts w:ascii="Consolas" w:hAnsi="Consolas"/>
          <w:color w:val="2D2D2D"/>
          <w:sz w:val="18"/>
        </w:rPr>
        <w:t>name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equivalent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enabled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action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managed_by</w:t>
      </w:r>
      <w:r>
        <w:rPr>
          <w:b w:val="0"/>
        </w:rPr>
        <w:t xml:space="preserve">, or </w:t>
      </w:r>
      <w:r>
        <w:rPr>
          <w:rFonts w:ascii="Consolas" w:hAnsi="Consolas"/>
          <w:color w:val="2D2D2D"/>
          <w:sz w:val="18"/>
        </w:rPr>
        <w:t>overlaps_requested_flow</w:t>
      </w:r>
      <w:r>
        <w:rPr>
          <w:b w:val="0"/>
        </w:rPr>
        <w:t xml:space="preserve"> depending on the scenario.</w:t>
      </w:r>
    </w:p>
    <w:p>
      <w:pPr>
        <w:pStyle w:val="Heading3"/>
      </w:pPr>
      <w:r>
        <w:t>Expected rule fields</w:t>
      </w:r>
    </w:p>
    <w:p>
      <w:pPr>
        <w:pStyle w:val="ListBullet"/>
        <w:keepNext/>
        <w:spacing w:after="40"/>
      </w:pPr>
      <w:r>
        <w:rPr>
          <w:b w:val="0"/>
        </w:rPr>
        <w:t xml:space="preserve">Illumio rule: </w:t>
      </w:r>
      <w:r>
        <w:rPr>
          <w:rFonts w:ascii="Consolas" w:hAnsi="Consolas"/>
          <w:color w:val="2D2D2D"/>
          <w:sz w:val="18"/>
        </w:rPr>
        <w:t>name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consumers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providers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services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action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enabled</w:t>
      </w:r>
      <w:r>
        <w:rPr>
          <w:b w:val="0"/>
        </w:rPr>
        <w:t xml:space="preserve">; each service contains </w:t>
      </w:r>
      <w:r>
        <w:rPr>
          <w:rFonts w:ascii="Consolas" w:hAnsi="Consolas"/>
          <w:color w:val="2D2D2D"/>
          <w:sz w:val="18"/>
        </w:rPr>
        <w:t>protocol</w:t>
      </w:r>
      <w:r>
        <w:rPr>
          <w:b w:val="0"/>
        </w:rPr>
        <w:t xml:space="preserve"> and </w:t>
      </w:r>
      <w:r>
        <w:rPr>
          <w:rFonts w:ascii="Consolas" w:hAnsi="Consolas"/>
          <w:color w:val="2D2D2D"/>
          <w:sz w:val="18"/>
        </w:rPr>
        <w:t>port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 xml:space="preserve">Firewall rule: </w:t>
      </w:r>
      <w:r>
        <w:rPr>
          <w:rFonts w:ascii="Consolas" w:hAnsi="Consolas"/>
          <w:color w:val="2D2D2D"/>
          <w:sz w:val="18"/>
        </w:rPr>
        <w:t>name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source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destination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services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source_zone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destination_zone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action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log</w:t>
      </w:r>
      <w:r>
        <w:rPr>
          <w:b w:val="0"/>
        </w:rPr>
        <w:t>.</w:t>
      </w:r>
    </w:p>
    <w:p>
      <w:pPr>
        <w:pStyle w:val="Heading2"/>
      </w:pPr>
      <w:r>
        <w:t>Generator profile 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schema_preset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 xml:space="preserve">Uses </w:t>
            </w:r>
            <w:r>
              <w:rPr>
                <w:rFonts w:ascii="Consolas" w:hAnsi="Consolas"/>
                <w:color w:val="2D2D2D"/>
                <w:sz w:val="18"/>
              </w:rPr>
              <w:t>Custom</w:t>
            </w:r>
            <w:r>
              <w:rPr>
                <w:rFonts w:ascii="Aptos" w:hAnsi="Aptos"/>
                <w:b w:val="0"/>
                <w:sz w:val="18"/>
              </w:rPr>
              <w:t xml:space="preserve"> so the supplied schema controls generation.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table_name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Logical generated-record name.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test_goal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Behavior the generated dataset is intended to evaluate.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dataset_context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Cross-field rules, policy assumptions, and idempotency requirements.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scenario_guidance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Desired scenario distribution and safety constraints.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field_definitions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Array of generated field names, types, and descriptions.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reference_examples_file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File containing examples that demonstrate the target structure and decisions.</w:t>
            </w:r>
          </w:p>
        </w:tc>
      </w:tr>
    </w:tbl>
    <w:p>
      <w:pPr>
        <w:spacing w:after="40"/>
      </w:pPr>
    </w:p>
    <w:p>
      <w:pPr>
        <w:pStyle w:val="Heading1"/>
      </w:pPr>
      <w:r>
        <w:t>What is modeled</w:t>
      </w:r>
    </w:p>
    <w:p>
      <w:pPr>
        <w:pStyle w:val="Heading3"/>
      </w:pPr>
      <w:r>
        <w:t>Each case contains</w:t>
      </w:r>
    </w:p>
    <w:p>
      <w:pPr>
        <w:pStyle w:val="ListBullet"/>
        <w:spacing w:after="40"/>
      </w:pPr>
      <w:r>
        <w:rPr>
          <w:b w:val="0"/>
        </w:rPr>
        <w:t>the pool-membership event that triggers automation;</w:t>
      </w:r>
    </w:p>
    <w:p>
      <w:pPr>
        <w:pStyle w:val="ListBullet"/>
        <w:spacing w:after="40"/>
      </w:pPr>
      <w:r>
        <w:rPr>
          <w:b w:val="0"/>
        </w:rPr>
        <w:t>server/CMDB facts, including IP address, environment, zone, and Illumio VEN state;</w:t>
      </w:r>
    </w:p>
    <w:p>
      <w:pPr>
        <w:pStyle w:val="ListBullet"/>
        <w:spacing w:after="40"/>
      </w:pPr>
      <w:r>
        <w:rPr>
          <w:b w:val="0"/>
        </w:rPr>
        <w:t>application-pool labels used by Illumio;</w:t>
      </w:r>
    </w:p>
    <w:p>
      <w:pPr>
        <w:pStyle w:val="ListBullet"/>
        <w:spacing w:after="40"/>
      </w:pPr>
      <w:r>
        <w:rPr>
          <w:b w:val="0"/>
        </w:rPr>
        <w:t>approved connectivity intents (the only flows the agent may provision);</w:t>
      </w:r>
    </w:p>
    <w:p>
      <w:pPr>
        <w:pStyle w:val="ListBullet"/>
        <w:keepNext/>
        <w:spacing w:after="40"/>
      </w:pPr>
      <w:r>
        <w:rPr>
          <w:b w:val="0"/>
        </w:rPr>
        <w:t>current Illumio and firewall state, so idempotency and partial recovery can be tested;</w:t>
      </w:r>
    </w:p>
    <w:p>
      <w:pPr>
        <w:pStyle w:val="ListBullet"/>
        <w:spacing w:after="40"/>
      </w:pPr>
      <w:r>
        <w:rPr>
          <w:b w:val="0"/>
        </w:rPr>
        <w:t>hidden expected decision, actions, normalized rules, and reason code.</w:t>
      </w:r>
    </w:p>
    <w:p>
      <w:pPr>
        <w:pStyle w:val="Heading3"/>
      </w:pPr>
      <w:r>
        <w:t>The mock policy uses these decisions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CREATE_BOTH</w:t>
      </w:r>
      <w:r>
        <w:rPr>
          <w:b w:val="0"/>
        </w:rPr>
        <w:t>: create one or more rules in both platforms;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CREATE_ILLUMIO_ONLY</w:t>
      </w:r>
      <w:r>
        <w:rPr>
          <w:b w:val="0"/>
        </w:rPr>
        <w:t xml:space="preserve"> or </w:t>
      </w:r>
      <w:r>
        <w:rPr>
          <w:rFonts w:ascii="Consolas" w:hAnsi="Consolas"/>
          <w:color w:val="2D2D2D"/>
          <w:sz w:val="18"/>
        </w:rPr>
        <w:t>CREATE_FIREWALL_ONLY</w:t>
      </w:r>
      <w:r>
        <w:rPr>
          <w:b w:val="0"/>
        </w:rPr>
        <w:t>: repair partial state;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NO_CHANGE</w:t>
      </w:r>
      <w:r>
        <w:rPr>
          <w:b w:val="0"/>
        </w:rPr>
        <w:t>: the desired state already exists;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BLOCK</w:t>
      </w:r>
      <w:r>
        <w:rPr>
          <w:b w:val="0"/>
        </w:rPr>
        <w:t>: do not provision because policy or required data is invalid;</w:t>
      </w:r>
    </w:p>
    <w:p>
      <w:pPr>
        <w:pStyle w:val="ListBullet"/>
        <w:keepNext/>
        <w:spacing w:after="40"/>
      </w:pPr>
      <w:r>
        <w:rPr>
          <w:rFonts w:ascii="Consolas" w:hAnsi="Consolas"/>
          <w:color w:val="2D2D2D"/>
          <w:sz w:val="18"/>
        </w:rPr>
        <w:t>DEFER</w:t>
      </w:r>
      <w:r>
        <w:rPr>
          <w:b w:val="0"/>
        </w:rPr>
        <w:t>: wait for a recoverable prerequisite, such as an offline Illumio VEN;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MANUAL_REVIEW</w:t>
      </w:r>
      <w:r>
        <w:rPr>
          <w:b w:val="0"/>
        </w:rPr>
        <w:t>: stop because automatic action could weaken an explicit control.</w:t>
      </w:r>
    </w:p>
    <w:p>
      <w:pPr>
        <w:pStyle w:val="Heading1"/>
      </w:pPr>
      <w:r>
        <w:t>Recommended evaluation</w:t>
      </w:r>
    </w:p>
    <w:p>
      <w:r>
        <w:rPr>
          <w:b w:val="0"/>
        </w:rPr>
        <w:t xml:space="preserve">Send every field except those beginning with </w:t>
      </w:r>
      <w:r>
        <w:rPr>
          <w:rFonts w:ascii="Consolas" w:hAnsi="Consolas"/>
          <w:color w:val="2D2D2D"/>
          <w:sz w:val="18"/>
        </w:rPr>
        <w:t>_expected_</w:t>
      </w:r>
      <w:r>
        <w:rPr>
          <w:b w:val="0"/>
        </w:rPr>
        <w:t xml:space="preserve"> to the agent. Compare its structured response to: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_expected_decision</w:t>
      </w:r>
      <w:r>
        <w:rPr>
          <w:b w:val="0"/>
        </w:rPr>
        <w:t xml:space="preserve"> and </w:t>
      </w:r>
      <w:r>
        <w:rPr>
          <w:rFonts w:ascii="Consolas" w:hAnsi="Consolas"/>
          <w:color w:val="2D2D2D"/>
          <w:sz w:val="18"/>
        </w:rPr>
        <w:t>_expected_actions</w:t>
      </w:r>
      <w:r>
        <w:rPr>
          <w:b w:val="0"/>
        </w:rPr>
        <w:t xml:space="preserve"> for primary accuracy;</w:t>
      </w:r>
    </w:p>
    <w:p>
      <w:pPr>
        <w:pStyle w:val="ListBullet"/>
        <w:keepNext/>
        <w:spacing w:after="40"/>
      </w:pPr>
      <w:r>
        <w:rPr>
          <w:rFonts w:ascii="Consolas" w:hAnsi="Consolas"/>
          <w:color w:val="2D2D2D"/>
          <w:sz w:val="18"/>
        </w:rPr>
        <w:t>_expected_illumio_rules</w:t>
      </w:r>
      <w:r>
        <w:rPr>
          <w:b w:val="0"/>
        </w:rPr>
        <w:t xml:space="preserve"> and </w:t>
      </w:r>
      <w:r>
        <w:rPr>
          <w:rFonts w:ascii="Consolas" w:hAnsi="Consolas"/>
          <w:color w:val="2D2D2D"/>
          <w:sz w:val="18"/>
        </w:rPr>
        <w:t>_expected_firewall_rules</w:t>
      </w:r>
      <w:r>
        <w:rPr>
          <w:b w:val="0"/>
        </w:rPr>
        <w:t xml:space="preserve"> after sorting arrays and normalizing case;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_expected_reason_code</w:t>
      </w:r>
      <w:r>
        <w:rPr>
          <w:b w:val="0"/>
        </w:rPr>
        <w:t xml:space="preserve"> for failure-path accuracy.</w:t>
      </w:r>
    </w:p>
    <w:p>
      <w:r>
        <w:rPr>
          <w:b w:val="0"/>
        </w:rPr>
        <w:t xml:space="preserve">Start with cases </w:t>
      </w:r>
      <w:r>
        <w:rPr>
          <w:rFonts w:ascii="Consolas" w:hAnsi="Consolas"/>
          <w:color w:val="2D2D2D"/>
          <w:sz w:val="18"/>
        </w:rPr>
        <w:t>ARP-001</w:t>
      </w:r>
      <w:r>
        <w:rPr>
          <w:b w:val="0"/>
        </w:rPr>
        <w:t xml:space="preserve"> through </w:t>
      </w:r>
      <w:r>
        <w:rPr>
          <w:rFonts w:ascii="Consolas" w:hAnsi="Consolas"/>
          <w:color w:val="2D2D2D"/>
          <w:sz w:val="18"/>
        </w:rPr>
        <w:t>ARP-006</w:t>
      </w:r>
      <w:r>
        <w:rPr>
          <w:b w:val="0"/>
        </w:rPr>
        <w:t xml:space="preserve"> for basic behavior, then add the negative and multi-flow cases. Never let the test harness execute these synthetic rules against a real management plane.</w:t>
      </w:r>
    </w:p>
    <w:p>
      <w:pPr>
        <w:pStyle w:val="Heading1"/>
      </w:pPr>
      <w:r>
        <w:t>Assumptions to adapt</w:t>
      </w:r>
    </w:p>
    <w:p>
      <w:r>
        <w:rPr>
          <w:b w:val="0"/>
        </w:rPr>
        <w:t xml:space="preserve">The rule representation is intentionally vendor-neutral. Replace </w:t>
      </w:r>
      <w:r>
        <w:rPr>
          <w:rFonts w:ascii="Consolas" w:hAnsi="Consolas"/>
          <w:color w:val="2D2D2D"/>
          <w:sz w:val="18"/>
        </w:rPr>
        <w:t>consumers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providers</w:t>
      </w:r>
      <w:r>
        <w:rPr>
          <w:b w:val="0"/>
        </w:rPr>
        <w:t xml:space="preserve">, label keys, zones, address groups, and service naming with your organization's approved Illumio PCE and firewall-manager contract. The mock workflow is transaction-oriented: if both systems are required, success means both reach the desired state; retry uses </w:t>
      </w:r>
      <w:r>
        <w:rPr>
          <w:rFonts w:ascii="Consolas" w:hAnsi="Consolas"/>
          <w:color w:val="2D2D2D"/>
          <w:sz w:val="18"/>
        </w:rPr>
        <w:t>idempotency_key</w:t>
      </w:r>
      <w:r>
        <w:rPr>
          <w:b w:val="0"/>
        </w:rPr>
        <w:t xml:space="preserve"> and must not create duplicates.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ptos" w:hAnsi="Aptos"/>
        <w:color w:val="595959"/>
        <w:sz w:val="17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Hackathon Participant Data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360" w:right="216"/>
    </w:pPr>
    <w:rPr>
      <w:rFonts w:ascii="Consolas" w:hAnsi="Consolas"/>
      <w:color w:val="2020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Automatic Rule Provisioning Mock Dataset</dc:title>
  <dc:subject>Hackathon participant dataset field guide</dc:subject>
  <dc:creator>Hackathon Data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