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«Анализ алгоритмов шифрования на наличие уязвимостей»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Б1.ДВ2.1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Анализ алгоритмов шифрования на наличие уязвимостейявляются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поиска уязвимостей и их исправления в системах шифрования.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</w:t>
        <w:br/>
        <w:t>Раздел II. Математические основы</w:t>
        <w:br/>
        <w:t>Раздел III. Формализация исходного кода алгоритмов шифрования</w:t>
        <w:br/>
        <w:t>Раздел IV. Методы анализа формальной записи алгоритмов шифрования</w:t>
        <w:br/>
        <w:t>Раздел V. Формальный анализ протоколов проверки подлинности и обмена ключами</w:t>
        <w:br/>
        <w:t>Раздел VI. Типы алгоритмов и криптографические режимы</w:t>
        <w:br/>
        <w:t>Раздел VII. Использование алгоритмов</w:t>
        <w:br/>
        <w:t>Раздел VIII. Специальные алгоритмы для протоколов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