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«Методы и инструментальные средства проведения расследования компьютерных инцидентов»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pPr>
        <w:jc w:val="both"/>
      </w:pPr>
      <w:r>
        <w:t>1.</w:t>
        <w:tab/>
        <w:t>Целями освоения дисциплины Методы и инструментальные средства проведения расследования компьютерных инцидентовявляются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проведения эффективных расследований компьютерных инцидентов и устранения их последствий.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</w:t>
        <w:br/>
        <w:t>Раздел II. Перехват и исследование трафика</w:t>
        <w:br/>
        <w:t>Раздел III. Исследование статистики трафика</w:t>
        <w:br/>
        <w:t>Раздел IV. Исследование логов веббсервера</w:t>
        <w:br/>
        <w:t>Раздел V. Установление принадлежности и расположения IPPадрес</w:t>
        <w:br/>
        <w:t>Раздел VI. Установление принадлежности доменного имени</w:t>
        <w:br/>
        <w:t>Раздел VII. Кейлогеры</w:t>
        <w:br/>
        <w:t>Раздел VIII. Следственные действия Осмотр компьютера, Тактика обыска, Короткоживущие данные</w:t>
        <w:br/>
        <w:t>Раздел IX. Заверение контента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