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стандарты оценки защищенности компьютерных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Методы и стандарты оценки защищенности компьютерных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проведения оценки защищенности компьютерных АСУ, а также их модернизации в соответствии со стандартами защищенности.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</w:t>
        <w:br/>
        <w:t>Раздел II. Оценка рисков информационной безопасности</w:t>
        <w:br/>
        <w:t>Раздел III. Требования к обеспечению безопасности информационных систем в США.</w:t>
        <w:br/>
        <w:t>Раздел IV. Требования к безопасности информационных систем в России</w:t>
        <w:br/>
        <w:t>Раздел V. Критерии оценки безопасности информационных технологий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