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6FE" w:rsidRDefault="00D32D54">
      <w:pPr>
        <w:jc w:val="center"/>
      </w:pPr>
      <w:r>
        <w:rPr>
          <w:noProof/>
        </w:rPr>
        <w:drawing>
          <wp:inline distT="0" distB="0" distL="0" distR="0">
            <wp:extent cx="581025" cy="809625"/>
            <wp:effectExtent l="19050" t="0" r="9525"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cstate="print"/>
                    <a:srcRect/>
                    <a:stretch>
                      <a:fillRect/>
                    </a:stretch>
                  </pic:blipFill>
                  <pic:spPr bwMode="auto">
                    <a:xfrm>
                      <a:off x="0" y="0"/>
                      <a:ext cx="581025" cy="809625"/>
                    </a:xfrm>
                    <a:prstGeom prst="rect">
                      <a:avLst/>
                    </a:prstGeom>
                    <a:noFill/>
                    <a:ln w="9525">
                      <a:noFill/>
                      <a:miter lim="800000"/>
                      <a:headEnd/>
                      <a:tailEnd/>
                    </a:ln>
                  </pic:spPr>
                </pic:pic>
              </a:graphicData>
            </a:graphic>
          </wp:inline>
        </w:drawing>
      </w:r>
    </w:p>
    <w:p w:rsidR="001806FE" w:rsidRDefault="00F10A88"/>
    <w:p w:rsidR="001806FE" w:rsidRDefault="00532E23">
      <w:pPr>
        <w:pStyle w:val="DocumentTitle"/>
      </w:pPr>
      <w:fldSimple w:instr=" TITLE  \* MERGEFORMAT ">
        <w:r w:rsidR="00526342">
          <w:t>C# Style and Design Guidelines</w:t>
        </w:r>
      </w:fldSimple>
    </w:p>
    <w:tbl>
      <w:tblPr>
        <w:tblW w:w="0" w:type="auto"/>
        <w:tblLook w:val="0000" w:firstRow="0" w:lastRow="0" w:firstColumn="0" w:lastColumn="0" w:noHBand="0" w:noVBand="0"/>
      </w:tblPr>
      <w:tblGrid>
        <w:gridCol w:w="1638"/>
        <w:gridCol w:w="7218"/>
      </w:tblGrid>
      <w:tr w:rsidR="001806FE">
        <w:tc>
          <w:tcPr>
            <w:tcW w:w="1638" w:type="dxa"/>
          </w:tcPr>
          <w:p w:rsidR="001806FE" w:rsidRDefault="00526342">
            <w:pPr>
              <w:rPr>
                <w:b/>
                <w:bCs/>
              </w:rPr>
            </w:pPr>
            <w:r>
              <w:rPr>
                <w:b/>
                <w:bCs/>
              </w:rPr>
              <w:t>Author</w:t>
            </w:r>
          </w:p>
        </w:tc>
        <w:tc>
          <w:tcPr>
            <w:tcW w:w="7218" w:type="dxa"/>
          </w:tcPr>
          <w:p w:rsidR="001806FE" w:rsidRDefault="00526342">
            <w:pPr>
              <w:rPr>
                <w:b/>
                <w:bCs/>
              </w:rPr>
            </w:pPr>
            <w:r>
              <w:t>Jeremy Caney (Jeremy@ignia.com)</w:t>
            </w:r>
          </w:p>
        </w:tc>
      </w:tr>
      <w:tr w:rsidR="001806FE">
        <w:tc>
          <w:tcPr>
            <w:tcW w:w="1638" w:type="dxa"/>
          </w:tcPr>
          <w:p w:rsidR="001806FE" w:rsidRDefault="00526342">
            <w:pPr>
              <w:rPr>
                <w:b/>
                <w:bCs/>
              </w:rPr>
            </w:pPr>
            <w:r>
              <w:rPr>
                <w:b/>
                <w:bCs/>
              </w:rPr>
              <w:t>Version</w:t>
            </w:r>
          </w:p>
        </w:tc>
        <w:tc>
          <w:tcPr>
            <w:tcW w:w="7218" w:type="dxa"/>
          </w:tcPr>
          <w:p w:rsidR="001806FE" w:rsidRDefault="00526342">
            <w:r>
              <w:t>01.00.00</w:t>
            </w:r>
          </w:p>
        </w:tc>
      </w:tr>
      <w:tr w:rsidR="001806FE">
        <w:tc>
          <w:tcPr>
            <w:tcW w:w="1638" w:type="dxa"/>
          </w:tcPr>
          <w:p w:rsidR="001806FE" w:rsidRDefault="00526342">
            <w:pPr>
              <w:rPr>
                <w:b/>
                <w:bCs/>
              </w:rPr>
            </w:pPr>
            <w:r>
              <w:rPr>
                <w:b/>
                <w:bCs/>
              </w:rPr>
              <w:t>Audience</w:t>
            </w:r>
          </w:p>
        </w:tc>
        <w:tc>
          <w:tcPr>
            <w:tcW w:w="7218" w:type="dxa"/>
          </w:tcPr>
          <w:p w:rsidR="001806FE" w:rsidRDefault="00526342">
            <w:r>
              <w:t>Ignia Development Staff</w:t>
            </w:r>
          </w:p>
        </w:tc>
      </w:tr>
    </w:tbl>
    <w:p w:rsidR="001806FE" w:rsidRDefault="00526342">
      <w:pPr>
        <w:pStyle w:val="Heading1"/>
      </w:pPr>
      <w:bookmarkStart w:id="0" w:name="_Toc95204563"/>
      <w:bookmarkStart w:id="1" w:name="_Toc95204635"/>
      <w:bookmarkStart w:id="2" w:name="_Toc8725563"/>
      <w:bookmarkStart w:id="3" w:name="_Toc172364562"/>
      <w:bookmarkStart w:id="4" w:name="_Toc172389686"/>
      <w:bookmarkStart w:id="5" w:name="_Toc507831144"/>
      <w:r>
        <w:t>Overview</w:t>
      </w:r>
      <w:bookmarkEnd w:id="0"/>
      <w:bookmarkEnd w:id="1"/>
      <w:bookmarkEnd w:id="2"/>
      <w:bookmarkEnd w:id="3"/>
      <w:bookmarkEnd w:id="4"/>
    </w:p>
    <w:p w:rsidR="007D04AE" w:rsidRDefault="00526342">
      <w:r>
        <w:t xml:space="preserve">The purpose of this document is to </w:t>
      </w:r>
      <w:r w:rsidR="00294248">
        <w:t>define</w:t>
      </w:r>
      <w:r>
        <w:t xml:space="preserve"> Ignia’s style guidelines for development practices when writing .NET code in C#.  This document should make no assumptions of the application or environment, although generally it will be applied to web pag</w:t>
      </w:r>
      <w:r w:rsidR="00967C0E">
        <w:t>e</w:t>
      </w:r>
      <w:bookmarkStart w:id="6" w:name="_GoBack"/>
      <w:bookmarkEnd w:id="6"/>
      <w:r>
        <w:t>s.</w:t>
      </w:r>
      <w:r w:rsidR="007D04AE">
        <w:t xml:space="preserve">  </w:t>
      </w:r>
    </w:p>
    <w:p w:rsidR="007D04AE" w:rsidRDefault="007D04AE"/>
    <w:p w:rsidR="001806FE" w:rsidRPr="007D04AE" w:rsidRDefault="007D04AE">
      <w:r w:rsidRPr="007D04AE">
        <w:rPr>
          <w:i/>
        </w:rPr>
        <w:t>It is expected that developers writing class libraries will be familiar with the Microsoft Class Library Design Guidelines, which should be considered a prerequisite to this document.</w:t>
      </w:r>
    </w:p>
    <w:p w:rsidR="001806FE" w:rsidRDefault="00526342">
      <w:pPr>
        <w:pStyle w:val="Heading2"/>
      </w:pPr>
      <w:bookmarkStart w:id="7" w:name="_Toc95204564"/>
      <w:bookmarkStart w:id="8" w:name="_Toc95204636"/>
      <w:bookmarkStart w:id="9" w:name="_Toc8725564"/>
      <w:bookmarkStart w:id="10" w:name="_Toc172364563"/>
      <w:bookmarkStart w:id="11" w:name="_Toc172389687"/>
      <w:r>
        <w:t>Revision History</w:t>
      </w:r>
      <w:bookmarkEnd w:id="5"/>
      <w:bookmarkEnd w:id="7"/>
      <w:bookmarkEnd w:id="8"/>
      <w:bookmarkEnd w:id="9"/>
      <w:bookmarkEnd w:id="10"/>
      <w:bookmarkEnd w:id="11"/>
    </w:p>
    <w:tbl>
      <w:tblPr>
        <w:tblW w:w="8280" w:type="dxa"/>
        <w:tblInd w:w="468" w:type="dxa"/>
        <w:tblLayout w:type="fixed"/>
        <w:tblLook w:val="00A0" w:firstRow="1" w:lastRow="0" w:firstColumn="1" w:lastColumn="0" w:noHBand="0" w:noVBand="0"/>
      </w:tblPr>
      <w:tblGrid>
        <w:gridCol w:w="1800"/>
        <w:gridCol w:w="1080"/>
        <w:gridCol w:w="5400"/>
      </w:tblGrid>
      <w:tr w:rsidR="001806FE">
        <w:tc>
          <w:tcPr>
            <w:tcW w:w="1800" w:type="dxa"/>
            <w:tcBorders>
              <w:bottom w:val="single" w:sz="4" w:space="0" w:color="999999"/>
            </w:tcBorders>
          </w:tcPr>
          <w:p w:rsidR="001806FE" w:rsidRDefault="00526342">
            <w:pPr>
              <w:pStyle w:val="BodyText"/>
              <w:ind w:left="0"/>
              <w:rPr>
                <w:b/>
                <w:bCs/>
              </w:rPr>
            </w:pPr>
            <w:r>
              <w:rPr>
                <w:b/>
                <w:bCs/>
              </w:rPr>
              <w:t>Author</w:t>
            </w:r>
          </w:p>
        </w:tc>
        <w:tc>
          <w:tcPr>
            <w:tcW w:w="1080" w:type="dxa"/>
            <w:tcBorders>
              <w:bottom w:val="single" w:sz="4" w:space="0" w:color="999999"/>
            </w:tcBorders>
          </w:tcPr>
          <w:p w:rsidR="001806FE" w:rsidRDefault="00526342">
            <w:pPr>
              <w:pStyle w:val="BodyText"/>
              <w:ind w:left="0"/>
              <w:rPr>
                <w:b/>
                <w:bCs/>
              </w:rPr>
            </w:pPr>
            <w:r>
              <w:rPr>
                <w:b/>
                <w:bCs/>
              </w:rPr>
              <w:t>Date</w:t>
            </w:r>
          </w:p>
        </w:tc>
        <w:tc>
          <w:tcPr>
            <w:tcW w:w="5400" w:type="dxa"/>
            <w:tcBorders>
              <w:bottom w:val="single" w:sz="4" w:space="0" w:color="999999"/>
            </w:tcBorders>
          </w:tcPr>
          <w:p w:rsidR="001806FE" w:rsidRDefault="00526342">
            <w:pPr>
              <w:pStyle w:val="BodyText"/>
              <w:ind w:left="0"/>
              <w:rPr>
                <w:b/>
                <w:bCs/>
              </w:rPr>
            </w:pPr>
            <w:r>
              <w:rPr>
                <w:b/>
                <w:bCs/>
              </w:rPr>
              <w:t>Comments</w:t>
            </w:r>
          </w:p>
        </w:tc>
      </w:tr>
      <w:tr w:rsidR="001806FE" w:rsidTr="00294248">
        <w:tc>
          <w:tcPr>
            <w:tcW w:w="1800" w:type="dxa"/>
            <w:tcBorders>
              <w:top w:val="single" w:sz="4" w:space="0" w:color="999999"/>
            </w:tcBorders>
          </w:tcPr>
          <w:p w:rsidR="001806FE" w:rsidRDefault="00526342">
            <w:pPr>
              <w:pStyle w:val="BodyText"/>
              <w:ind w:left="0"/>
            </w:pPr>
            <w:r>
              <w:t>Jeremy Caney</w:t>
            </w:r>
          </w:p>
        </w:tc>
        <w:tc>
          <w:tcPr>
            <w:tcW w:w="1080" w:type="dxa"/>
            <w:tcBorders>
              <w:top w:val="single" w:sz="4" w:space="0" w:color="999999"/>
            </w:tcBorders>
          </w:tcPr>
          <w:p w:rsidR="001806FE" w:rsidRDefault="00526342">
            <w:pPr>
              <w:pStyle w:val="BodyText"/>
              <w:ind w:left="0"/>
            </w:pPr>
            <w:r>
              <w:t>02.03.05</w:t>
            </w:r>
          </w:p>
        </w:tc>
        <w:tc>
          <w:tcPr>
            <w:tcW w:w="5400" w:type="dxa"/>
            <w:tcBorders>
              <w:top w:val="single" w:sz="4" w:space="0" w:color="999999"/>
            </w:tcBorders>
          </w:tcPr>
          <w:p w:rsidR="001806FE" w:rsidRDefault="00526342">
            <w:pPr>
              <w:pStyle w:val="BodyText"/>
              <w:ind w:left="0"/>
            </w:pPr>
            <w:r>
              <w:t>Initial version created</w:t>
            </w:r>
          </w:p>
        </w:tc>
      </w:tr>
      <w:tr w:rsidR="001806FE" w:rsidTr="00294248">
        <w:tc>
          <w:tcPr>
            <w:tcW w:w="1800" w:type="dxa"/>
          </w:tcPr>
          <w:p w:rsidR="001806FE" w:rsidRDefault="00526342">
            <w:pPr>
              <w:pStyle w:val="BodyText"/>
              <w:ind w:left="0"/>
            </w:pPr>
            <w:r>
              <w:t>Jeremy Caney</w:t>
            </w:r>
          </w:p>
        </w:tc>
        <w:tc>
          <w:tcPr>
            <w:tcW w:w="1080" w:type="dxa"/>
          </w:tcPr>
          <w:p w:rsidR="001806FE" w:rsidRDefault="00526342">
            <w:pPr>
              <w:pStyle w:val="BodyText"/>
              <w:ind w:left="0"/>
            </w:pPr>
            <w:r>
              <w:t>05.08.06</w:t>
            </w:r>
          </w:p>
        </w:tc>
        <w:tc>
          <w:tcPr>
            <w:tcW w:w="5400" w:type="dxa"/>
          </w:tcPr>
          <w:p w:rsidR="001806FE" w:rsidRDefault="00526342" w:rsidP="00EC1176">
            <w:pPr>
              <w:pStyle w:val="BodyText"/>
              <w:tabs>
                <w:tab w:val="left" w:pos="2565"/>
              </w:tabs>
              <w:ind w:left="0"/>
            </w:pPr>
            <w:r>
              <w:t>Minor copy edits; no revisions to actual standards.</w:t>
            </w:r>
          </w:p>
        </w:tc>
      </w:tr>
      <w:tr w:rsidR="00256CDD" w:rsidTr="00294248">
        <w:tc>
          <w:tcPr>
            <w:tcW w:w="1800" w:type="dxa"/>
          </w:tcPr>
          <w:p w:rsidR="00256CDD" w:rsidRDefault="00256CDD">
            <w:pPr>
              <w:pStyle w:val="BodyText"/>
              <w:ind w:left="0"/>
            </w:pPr>
            <w:r>
              <w:t>Jeremy Caney</w:t>
            </w:r>
          </w:p>
        </w:tc>
        <w:tc>
          <w:tcPr>
            <w:tcW w:w="1080" w:type="dxa"/>
          </w:tcPr>
          <w:p w:rsidR="00256CDD" w:rsidRDefault="00256CDD">
            <w:pPr>
              <w:pStyle w:val="BodyText"/>
              <w:ind w:left="0"/>
            </w:pPr>
            <w:r>
              <w:t>07.16.07</w:t>
            </w:r>
          </w:p>
        </w:tc>
        <w:tc>
          <w:tcPr>
            <w:tcW w:w="5400" w:type="dxa"/>
          </w:tcPr>
          <w:p w:rsidR="00256CDD" w:rsidRDefault="00256CDD" w:rsidP="00256CDD">
            <w:pPr>
              <w:pStyle w:val="BodyText"/>
              <w:tabs>
                <w:tab w:val="left" w:pos="2565"/>
              </w:tabs>
              <w:ind w:left="0"/>
            </w:pPr>
            <w:r>
              <w:t>Standardized portions with Microsoft’s internal standards.</w:t>
            </w:r>
          </w:p>
          <w:p w:rsidR="00256CDD" w:rsidRDefault="00256CDD" w:rsidP="00526342">
            <w:pPr>
              <w:pStyle w:val="BodyText"/>
              <w:tabs>
                <w:tab w:val="left" w:pos="2565"/>
              </w:tabs>
              <w:ind w:left="0"/>
            </w:pPr>
            <w:r>
              <w:t>Change</w:t>
            </w:r>
            <w:r w:rsidR="00526342">
              <w:t>d</w:t>
            </w:r>
            <w:r>
              <w:t xml:space="preserve"> standards on Hungarian Notation.</w:t>
            </w:r>
          </w:p>
        </w:tc>
      </w:tr>
    </w:tbl>
    <w:p w:rsidR="001806FE" w:rsidRDefault="00526342">
      <w:pPr>
        <w:pStyle w:val="Heading2"/>
      </w:pPr>
      <w:bookmarkStart w:id="12" w:name="_Toc507831145"/>
      <w:bookmarkStart w:id="13" w:name="_Toc95204565"/>
      <w:bookmarkStart w:id="14" w:name="_Toc95204637"/>
      <w:bookmarkStart w:id="15" w:name="_Toc8725565"/>
      <w:bookmarkStart w:id="16" w:name="_Toc172364564"/>
      <w:bookmarkStart w:id="17" w:name="_Toc172389688"/>
      <w:r>
        <w:t>Related Documents</w:t>
      </w:r>
      <w:bookmarkEnd w:id="12"/>
      <w:bookmarkEnd w:id="13"/>
      <w:bookmarkEnd w:id="14"/>
      <w:bookmarkEnd w:id="15"/>
      <w:bookmarkEnd w:id="16"/>
      <w:bookmarkEnd w:id="17"/>
    </w:p>
    <w:p w:rsidR="001806FE" w:rsidRDefault="00526342">
      <w:pPr>
        <w:numPr>
          <w:ilvl w:val="0"/>
          <w:numId w:val="14"/>
        </w:numPr>
      </w:pPr>
      <w:r>
        <w:t>Class Library Design Guidelines ([</w:t>
      </w:r>
      <w:hyperlink r:id="rId8" w:history="1">
        <w:r>
          <w:rPr>
            <w:rStyle w:val="Hyperlink"/>
          </w:rPr>
          <w:t>Reference</w:t>
        </w:r>
      </w:hyperlink>
      <w:r>
        <w:t>], .NET SDK, Microsoft)</w:t>
      </w:r>
    </w:p>
    <w:p w:rsidR="001806FE" w:rsidRDefault="00526342" w:rsidP="001806FE">
      <w:pPr>
        <w:pStyle w:val="Heading1"/>
      </w:pPr>
      <w:bookmarkStart w:id="18" w:name="_Toc95204566"/>
      <w:bookmarkStart w:id="19" w:name="_Toc95204638"/>
      <w:r>
        <w:br w:type="page"/>
      </w:r>
      <w:bookmarkStart w:id="20" w:name="_Toc8725566"/>
      <w:bookmarkStart w:id="21" w:name="_Toc172364565"/>
      <w:bookmarkStart w:id="22" w:name="_Toc172389689"/>
      <w:r>
        <w:lastRenderedPageBreak/>
        <w:t>Contents</w:t>
      </w:r>
      <w:bookmarkEnd w:id="18"/>
      <w:bookmarkEnd w:id="19"/>
      <w:bookmarkEnd w:id="20"/>
      <w:bookmarkEnd w:id="21"/>
      <w:bookmarkEnd w:id="22"/>
    </w:p>
    <w:p w:rsidR="008A3986" w:rsidRDefault="00526342">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"2-2" \h \z \t "Heading 1,1" </w:instrText>
      </w:r>
      <w:r>
        <w:fldChar w:fldCharType="separate"/>
      </w:r>
      <w:hyperlink w:anchor="_Toc172389689" w:history="1">
        <w:r w:rsidR="008A3986" w:rsidRPr="00FB5CBC">
          <w:rPr>
            <w:rStyle w:val="Hyperlink"/>
            <w:noProof/>
          </w:rPr>
          <w:t>Contents</w:t>
        </w:r>
        <w:r w:rsidR="008A3986">
          <w:rPr>
            <w:noProof/>
            <w:webHidden/>
          </w:rPr>
          <w:tab/>
        </w:r>
        <w:r w:rsidR="008A3986">
          <w:rPr>
            <w:noProof/>
            <w:webHidden/>
          </w:rPr>
          <w:fldChar w:fldCharType="begin"/>
        </w:r>
        <w:r w:rsidR="008A3986">
          <w:rPr>
            <w:noProof/>
            <w:webHidden/>
          </w:rPr>
          <w:instrText xml:space="preserve"> PAGEREF _Toc172389689 \h </w:instrText>
        </w:r>
        <w:r w:rsidR="008A3986">
          <w:rPr>
            <w:noProof/>
            <w:webHidden/>
          </w:rPr>
        </w:r>
        <w:r w:rsidR="008A3986">
          <w:rPr>
            <w:noProof/>
            <w:webHidden/>
          </w:rPr>
          <w:fldChar w:fldCharType="separate"/>
        </w:r>
        <w:r w:rsidR="008A3986">
          <w:rPr>
            <w:noProof/>
            <w:webHidden/>
          </w:rPr>
          <w:t>2</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690" w:history="1">
        <w:r w:rsidR="008A3986" w:rsidRPr="00FB5CBC">
          <w:rPr>
            <w:rStyle w:val="Hyperlink"/>
            <w:noProof/>
          </w:rPr>
          <w:t>Capitalization</w:t>
        </w:r>
        <w:r w:rsidR="008A3986">
          <w:rPr>
            <w:noProof/>
            <w:webHidden/>
          </w:rPr>
          <w:tab/>
        </w:r>
        <w:r w:rsidR="008A3986">
          <w:rPr>
            <w:noProof/>
            <w:webHidden/>
          </w:rPr>
          <w:fldChar w:fldCharType="begin"/>
        </w:r>
        <w:r w:rsidR="008A3986">
          <w:rPr>
            <w:noProof/>
            <w:webHidden/>
          </w:rPr>
          <w:instrText xml:space="preserve"> PAGEREF _Toc172389690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1" w:history="1">
        <w:r w:rsidR="008A3986" w:rsidRPr="00FB5CBC">
          <w:rPr>
            <w:rStyle w:val="Hyperlink"/>
            <w:noProof/>
          </w:rPr>
          <w:t>Summary</w:t>
        </w:r>
        <w:r w:rsidR="008A3986">
          <w:rPr>
            <w:noProof/>
            <w:webHidden/>
          </w:rPr>
          <w:tab/>
        </w:r>
        <w:r w:rsidR="008A3986">
          <w:rPr>
            <w:noProof/>
            <w:webHidden/>
          </w:rPr>
          <w:fldChar w:fldCharType="begin"/>
        </w:r>
        <w:r w:rsidR="008A3986">
          <w:rPr>
            <w:noProof/>
            <w:webHidden/>
          </w:rPr>
          <w:instrText xml:space="preserve"> PAGEREF _Toc172389691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2" w:history="1">
        <w:r w:rsidR="008A3986" w:rsidRPr="00FB5CBC">
          <w:rPr>
            <w:rStyle w:val="Hyperlink"/>
            <w:noProof/>
          </w:rPr>
          <w:t>Public Fields</w:t>
        </w:r>
        <w:r w:rsidR="008A3986">
          <w:rPr>
            <w:noProof/>
            <w:webHidden/>
          </w:rPr>
          <w:tab/>
        </w:r>
        <w:r w:rsidR="008A3986">
          <w:rPr>
            <w:noProof/>
            <w:webHidden/>
          </w:rPr>
          <w:fldChar w:fldCharType="begin"/>
        </w:r>
        <w:r w:rsidR="008A3986">
          <w:rPr>
            <w:noProof/>
            <w:webHidden/>
          </w:rPr>
          <w:instrText xml:space="preserve"> PAGEREF _Toc172389692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3" w:history="1">
        <w:r w:rsidR="008A3986" w:rsidRPr="00FB5CBC">
          <w:rPr>
            <w:rStyle w:val="Hyperlink"/>
            <w:noProof/>
          </w:rPr>
          <w:t>Client Ambiguity Exception</w:t>
        </w:r>
        <w:r w:rsidR="008A3986">
          <w:rPr>
            <w:noProof/>
            <w:webHidden/>
          </w:rPr>
          <w:tab/>
        </w:r>
        <w:r w:rsidR="008A3986">
          <w:rPr>
            <w:noProof/>
            <w:webHidden/>
          </w:rPr>
          <w:fldChar w:fldCharType="begin"/>
        </w:r>
        <w:r w:rsidR="008A3986">
          <w:rPr>
            <w:noProof/>
            <w:webHidden/>
          </w:rPr>
          <w:instrText xml:space="preserve"> PAGEREF _Toc172389693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4" w:history="1">
        <w:r w:rsidR="008A3986" w:rsidRPr="00FB5CBC">
          <w:rPr>
            <w:rStyle w:val="Hyperlink"/>
            <w:noProof/>
          </w:rPr>
          <w:t>Abbreviations</w:t>
        </w:r>
        <w:r w:rsidR="008A3986">
          <w:rPr>
            <w:noProof/>
            <w:webHidden/>
          </w:rPr>
          <w:tab/>
        </w:r>
        <w:r w:rsidR="008A3986">
          <w:rPr>
            <w:noProof/>
            <w:webHidden/>
          </w:rPr>
          <w:fldChar w:fldCharType="begin"/>
        </w:r>
        <w:r w:rsidR="008A3986">
          <w:rPr>
            <w:noProof/>
            <w:webHidden/>
          </w:rPr>
          <w:instrText xml:space="preserve"> PAGEREF _Toc172389694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5" w:history="1">
        <w:r w:rsidR="008A3986" w:rsidRPr="00FB5CBC">
          <w:rPr>
            <w:rStyle w:val="Hyperlink"/>
            <w:noProof/>
          </w:rPr>
          <w:t>Acronyms</w:t>
        </w:r>
        <w:r w:rsidR="008A3986">
          <w:rPr>
            <w:noProof/>
            <w:webHidden/>
          </w:rPr>
          <w:tab/>
        </w:r>
        <w:r w:rsidR="008A3986">
          <w:rPr>
            <w:noProof/>
            <w:webHidden/>
          </w:rPr>
          <w:fldChar w:fldCharType="begin"/>
        </w:r>
        <w:r w:rsidR="008A3986">
          <w:rPr>
            <w:noProof/>
            <w:webHidden/>
          </w:rPr>
          <w:instrText xml:space="preserve"> PAGEREF _Toc172389695 \h </w:instrText>
        </w:r>
        <w:r w:rsidR="008A3986">
          <w:rPr>
            <w:noProof/>
            <w:webHidden/>
          </w:rPr>
        </w:r>
        <w:r w:rsidR="008A3986">
          <w:rPr>
            <w:noProof/>
            <w:webHidden/>
          </w:rPr>
          <w:fldChar w:fldCharType="separate"/>
        </w:r>
        <w:r w:rsidR="008A3986">
          <w:rPr>
            <w:noProof/>
            <w:webHidden/>
          </w:rPr>
          <w:t>3</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6" w:history="1">
        <w:r w:rsidR="008A3986" w:rsidRPr="00FB5CBC">
          <w:rPr>
            <w:rStyle w:val="Hyperlink"/>
            <w:noProof/>
          </w:rPr>
          <w:t>Case Sensitivity</w:t>
        </w:r>
        <w:r w:rsidR="008A3986">
          <w:rPr>
            <w:noProof/>
            <w:webHidden/>
          </w:rPr>
          <w:tab/>
        </w:r>
        <w:r w:rsidR="008A3986">
          <w:rPr>
            <w:noProof/>
            <w:webHidden/>
          </w:rPr>
          <w:fldChar w:fldCharType="begin"/>
        </w:r>
        <w:r w:rsidR="008A3986">
          <w:rPr>
            <w:noProof/>
            <w:webHidden/>
          </w:rPr>
          <w:instrText xml:space="preserve"> PAGEREF _Toc172389696 \h </w:instrText>
        </w:r>
        <w:r w:rsidR="008A3986">
          <w:rPr>
            <w:noProof/>
            <w:webHidden/>
          </w:rPr>
        </w:r>
        <w:r w:rsidR="008A3986">
          <w:rPr>
            <w:noProof/>
            <w:webHidden/>
          </w:rPr>
          <w:fldChar w:fldCharType="separate"/>
        </w:r>
        <w:r w:rsidR="008A3986">
          <w:rPr>
            <w:noProof/>
            <w:webHidden/>
          </w:rPr>
          <w:t>4</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697" w:history="1">
        <w:r w:rsidR="008A3986" w:rsidRPr="00FB5CBC">
          <w:rPr>
            <w:rStyle w:val="Hyperlink"/>
            <w:noProof/>
          </w:rPr>
          <w:t>Naming Conventions</w:t>
        </w:r>
        <w:r w:rsidR="008A3986">
          <w:rPr>
            <w:noProof/>
            <w:webHidden/>
          </w:rPr>
          <w:tab/>
        </w:r>
        <w:r w:rsidR="008A3986">
          <w:rPr>
            <w:noProof/>
            <w:webHidden/>
          </w:rPr>
          <w:fldChar w:fldCharType="begin"/>
        </w:r>
        <w:r w:rsidR="008A3986">
          <w:rPr>
            <w:noProof/>
            <w:webHidden/>
          </w:rPr>
          <w:instrText xml:space="preserve"> PAGEREF _Toc172389697 \h </w:instrText>
        </w:r>
        <w:r w:rsidR="008A3986">
          <w:rPr>
            <w:noProof/>
            <w:webHidden/>
          </w:rPr>
        </w:r>
        <w:r w:rsidR="008A3986">
          <w:rPr>
            <w:noProof/>
            <w:webHidden/>
          </w:rPr>
          <w:fldChar w:fldCharType="separate"/>
        </w:r>
        <w:r w:rsidR="008A3986">
          <w:rPr>
            <w:noProof/>
            <w:webHidden/>
          </w:rPr>
          <w:t>4</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8" w:history="1">
        <w:r w:rsidR="008A3986" w:rsidRPr="00FB5CBC">
          <w:rPr>
            <w:rStyle w:val="Hyperlink"/>
            <w:noProof/>
          </w:rPr>
          <w:t>Namespaces</w:t>
        </w:r>
        <w:r w:rsidR="008A3986">
          <w:rPr>
            <w:noProof/>
            <w:webHidden/>
          </w:rPr>
          <w:tab/>
        </w:r>
        <w:r w:rsidR="008A3986">
          <w:rPr>
            <w:noProof/>
            <w:webHidden/>
          </w:rPr>
          <w:fldChar w:fldCharType="begin"/>
        </w:r>
        <w:r w:rsidR="008A3986">
          <w:rPr>
            <w:noProof/>
            <w:webHidden/>
          </w:rPr>
          <w:instrText xml:space="preserve"> PAGEREF _Toc172389698 \h </w:instrText>
        </w:r>
        <w:r w:rsidR="008A3986">
          <w:rPr>
            <w:noProof/>
            <w:webHidden/>
          </w:rPr>
        </w:r>
        <w:r w:rsidR="008A3986">
          <w:rPr>
            <w:noProof/>
            <w:webHidden/>
          </w:rPr>
          <w:fldChar w:fldCharType="separate"/>
        </w:r>
        <w:r w:rsidR="008A3986">
          <w:rPr>
            <w:noProof/>
            <w:webHidden/>
          </w:rPr>
          <w:t>4</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699" w:history="1">
        <w:r w:rsidR="008A3986" w:rsidRPr="00FB5CBC">
          <w:rPr>
            <w:rStyle w:val="Hyperlink"/>
            <w:noProof/>
          </w:rPr>
          <w:t>Methods</w:t>
        </w:r>
        <w:r w:rsidR="008A3986">
          <w:rPr>
            <w:noProof/>
            <w:webHidden/>
          </w:rPr>
          <w:tab/>
        </w:r>
        <w:r w:rsidR="008A3986">
          <w:rPr>
            <w:noProof/>
            <w:webHidden/>
          </w:rPr>
          <w:fldChar w:fldCharType="begin"/>
        </w:r>
        <w:r w:rsidR="008A3986">
          <w:rPr>
            <w:noProof/>
            <w:webHidden/>
          </w:rPr>
          <w:instrText xml:space="preserve"> PAGEREF _Toc172389699 \h </w:instrText>
        </w:r>
        <w:r w:rsidR="008A3986">
          <w:rPr>
            <w:noProof/>
            <w:webHidden/>
          </w:rPr>
        </w:r>
        <w:r w:rsidR="008A3986">
          <w:rPr>
            <w:noProof/>
            <w:webHidden/>
          </w:rPr>
          <w:fldChar w:fldCharType="separate"/>
        </w:r>
        <w:r w:rsidR="008A3986">
          <w:rPr>
            <w:noProof/>
            <w:webHidden/>
          </w:rPr>
          <w:t>4</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0" w:history="1">
        <w:r w:rsidR="008A3986" w:rsidRPr="00FB5CBC">
          <w:rPr>
            <w:rStyle w:val="Hyperlink"/>
            <w:noProof/>
          </w:rPr>
          <w:t>Private Fields</w:t>
        </w:r>
        <w:r w:rsidR="008A3986">
          <w:rPr>
            <w:noProof/>
            <w:webHidden/>
          </w:rPr>
          <w:tab/>
        </w:r>
        <w:r w:rsidR="008A3986">
          <w:rPr>
            <w:noProof/>
            <w:webHidden/>
          </w:rPr>
          <w:fldChar w:fldCharType="begin"/>
        </w:r>
        <w:r w:rsidR="008A3986">
          <w:rPr>
            <w:noProof/>
            <w:webHidden/>
          </w:rPr>
          <w:instrText xml:space="preserve"> PAGEREF _Toc172389700 \h </w:instrText>
        </w:r>
        <w:r w:rsidR="008A3986">
          <w:rPr>
            <w:noProof/>
            <w:webHidden/>
          </w:rPr>
        </w:r>
        <w:r w:rsidR="008A3986">
          <w:rPr>
            <w:noProof/>
            <w:webHidden/>
          </w:rPr>
          <w:fldChar w:fldCharType="separate"/>
        </w:r>
        <w:r w:rsidR="008A3986">
          <w:rPr>
            <w:noProof/>
            <w:webHidden/>
          </w:rPr>
          <w:t>4</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1" w:history="1">
        <w:r w:rsidR="008A3986" w:rsidRPr="00FB5CBC">
          <w:rPr>
            <w:rStyle w:val="Hyperlink"/>
            <w:noProof/>
          </w:rPr>
          <w:t>Hungarian Notation</w:t>
        </w:r>
        <w:r w:rsidR="008A3986">
          <w:rPr>
            <w:noProof/>
            <w:webHidden/>
          </w:rPr>
          <w:tab/>
        </w:r>
        <w:r w:rsidR="008A3986">
          <w:rPr>
            <w:noProof/>
            <w:webHidden/>
          </w:rPr>
          <w:fldChar w:fldCharType="begin"/>
        </w:r>
        <w:r w:rsidR="008A3986">
          <w:rPr>
            <w:noProof/>
            <w:webHidden/>
          </w:rPr>
          <w:instrText xml:space="preserve"> PAGEREF _Toc172389701 \h </w:instrText>
        </w:r>
        <w:r w:rsidR="008A3986">
          <w:rPr>
            <w:noProof/>
            <w:webHidden/>
          </w:rPr>
        </w:r>
        <w:r w:rsidR="008A3986">
          <w:rPr>
            <w:noProof/>
            <w:webHidden/>
          </w:rPr>
          <w:fldChar w:fldCharType="separate"/>
        </w:r>
        <w:r w:rsidR="008A3986">
          <w:rPr>
            <w:noProof/>
            <w:webHidden/>
          </w:rPr>
          <w:t>5</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2" w:history="1">
        <w:r w:rsidR="008A3986" w:rsidRPr="00FB5CBC">
          <w:rPr>
            <w:rStyle w:val="Hyperlink"/>
            <w:noProof/>
          </w:rPr>
          <w:t>Form Fields</w:t>
        </w:r>
        <w:r w:rsidR="008A3986">
          <w:rPr>
            <w:noProof/>
            <w:webHidden/>
          </w:rPr>
          <w:tab/>
        </w:r>
        <w:r w:rsidR="008A3986">
          <w:rPr>
            <w:noProof/>
            <w:webHidden/>
          </w:rPr>
          <w:fldChar w:fldCharType="begin"/>
        </w:r>
        <w:r w:rsidR="008A3986">
          <w:rPr>
            <w:noProof/>
            <w:webHidden/>
          </w:rPr>
          <w:instrText xml:space="preserve"> PAGEREF _Toc172389702 \h </w:instrText>
        </w:r>
        <w:r w:rsidR="008A3986">
          <w:rPr>
            <w:noProof/>
            <w:webHidden/>
          </w:rPr>
        </w:r>
        <w:r w:rsidR="008A3986">
          <w:rPr>
            <w:noProof/>
            <w:webHidden/>
          </w:rPr>
          <w:fldChar w:fldCharType="separate"/>
        </w:r>
        <w:r w:rsidR="008A3986">
          <w:rPr>
            <w:noProof/>
            <w:webHidden/>
          </w:rPr>
          <w:t>5</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703" w:history="1">
        <w:r w:rsidR="008A3986" w:rsidRPr="00FB5CBC">
          <w:rPr>
            <w:rStyle w:val="Hyperlink"/>
            <w:noProof/>
          </w:rPr>
          <w:t>Indentation and Formatting</w:t>
        </w:r>
        <w:r w:rsidR="008A3986">
          <w:rPr>
            <w:noProof/>
            <w:webHidden/>
          </w:rPr>
          <w:tab/>
        </w:r>
        <w:r w:rsidR="008A3986">
          <w:rPr>
            <w:noProof/>
            <w:webHidden/>
          </w:rPr>
          <w:fldChar w:fldCharType="begin"/>
        </w:r>
        <w:r w:rsidR="008A3986">
          <w:rPr>
            <w:noProof/>
            <w:webHidden/>
          </w:rPr>
          <w:instrText xml:space="preserve"> PAGEREF _Toc172389703 \h </w:instrText>
        </w:r>
        <w:r w:rsidR="008A3986">
          <w:rPr>
            <w:noProof/>
            <w:webHidden/>
          </w:rPr>
        </w:r>
        <w:r w:rsidR="008A3986">
          <w:rPr>
            <w:noProof/>
            <w:webHidden/>
          </w:rPr>
          <w:fldChar w:fldCharType="separate"/>
        </w:r>
        <w:r w:rsidR="008A3986">
          <w:rPr>
            <w:noProof/>
            <w:webHidden/>
          </w:rPr>
          <w:t>5</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4" w:history="1">
        <w:r w:rsidR="008A3986" w:rsidRPr="00FB5CBC">
          <w:rPr>
            <w:rStyle w:val="Hyperlink"/>
            <w:noProof/>
          </w:rPr>
          <w:t>Indentation</w:t>
        </w:r>
        <w:r w:rsidR="008A3986">
          <w:rPr>
            <w:noProof/>
            <w:webHidden/>
          </w:rPr>
          <w:tab/>
        </w:r>
        <w:r w:rsidR="008A3986">
          <w:rPr>
            <w:noProof/>
            <w:webHidden/>
          </w:rPr>
          <w:fldChar w:fldCharType="begin"/>
        </w:r>
        <w:r w:rsidR="008A3986">
          <w:rPr>
            <w:noProof/>
            <w:webHidden/>
          </w:rPr>
          <w:instrText xml:space="preserve"> PAGEREF _Toc172389704 \h </w:instrText>
        </w:r>
        <w:r w:rsidR="008A3986">
          <w:rPr>
            <w:noProof/>
            <w:webHidden/>
          </w:rPr>
        </w:r>
        <w:r w:rsidR="008A3986">
          <w:rPr>
            <w:noProof/>
            <w:webHidden/>
          </w:rPr>
          <w:fldChar w:fldCharType="separate"/>
        </w:r>
        <w:r w:rsidR="008A3986">
          <w:rPr>
            <w:noProof/>
            <w:webHidden/>
          </w:rPr>
          <w:t>5</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5" w:history="1">
        <w:r w:rsidR="008A3986" w:rsidRPr="00FB5CBC">
          <w:rPr>
            <w:rStyle w:val="Hyperlink"/>
            <w:noProof/>
          </w:rPr>
          <w:t>Spacing</w:t>
        </w:r>
        <w:r w:rsidR="008A3986">
          <w:rPr>
            <w:noProof/>
            <w:webHidden/>
          </w:rPr>
          <w:tab/>
        </w:r>
        <w:r w:rsidR="008A3986">
          <w:rPr>
            <w:noProof/>
            <w:webHidden/>
          </w:rPr>
          <w:fldChar w:fldCharType="begin"/>
        </w:r>
        <w:r w:rsidR="008A3986">
          <w:rPr>
            <w:noProof/>
            <w:webHidden/>
          </w:rPr>
          <w:instrText xml:space="preserve"> PAGEREF _Toc172389705 \h </w:instrText>
        </w:r>
        <w:r w:rsidR="008A3986">
          <w:rPr>
            <w:noProof/>
            <w:webHidden/>
          </w:rPr>
        </w:r>
        <w:r w:rsidR="008A3986">
          <w:rPr>
            <w:noProof/>
            <w:webHidden/>
          </w:rPr>
          <w:fldChar w:fldCharType="separate"/>
        </w:r>
        <w:r w:rsidR="008A3986">
          <w:rPr>
            <w:noProof/>
            <w:webHidden/>
          </w:rPr>
          <w:t>5</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6" w:history="1">
        <w:r w:rsidR="008A3986" w:rsidRPr="00FB5CBC">
          <w:rPr>
            <w:rStyle w:val="Hyperlink"/>
            <w:noProof/>
          </w:rPr>
          <w:t>Bracing</w:t>
        </w:r>
        <w:r w:rsidR="008A3986">
          <w:rPr>
            <w:noProof/>
            <w:webHidden/>
          </w:rPr>
          <w:tab/>
        </w:r>
        <w:r w:rsidR="008A3986">
          <w:rPr>
            <w:noProof/>
            <w:webHidden/>
          </w:rPr>
          <w:fldChar w:fldCharType="begin"/>
        </w:r>
        <w:r w:rsidR="008A3986">
          <w:rPr>
            <w:noProof/>
            <w:webHidden/>
          </w:rPr>
          <w:instrText xml:space="preserve"> PAGEREF _Toc172389706 \h </w:instrText>
        </w:r>
        <w:r w:rsidR="008A3986">
          <w:rPr>
            <w:noProof/>
            <w:webHidden/>
          </w:rPr>
        </w:r>
        <w:r w:rsidR="008A3986">
          <w:rPr>
            <w:noProof/>
            <w:webHidden/>
          </w:rPr>
          <w:fldChar w:fldCharType="separate"/>
        </w:r>
        <w:r w:rsidR="008A3986">
          <w:rPr>
            <w:noProof/>
            <w:webHidden/>
          </w:rPr>
          <w:t>6</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7" w:history="1">
        <w:r w:rsidR="008A3986" w:rsidRPr="00FB5CBC">
          <w:rPr>
            <w:rStyle w:val="Hyperlink"/>
            <w:noProof/>
          </w:rPr>
          <w:t>Example</w:t>
        </w:r>
        <w:r w:rsidR="008A3986">
          <w:rPr>
            <w:noProof/>
            <w:webHidden/>
          </w:rPr>
          <w:tab/>
        </w:r>
        <w:r w:rsidR="008A3986">
          <w:rPr>
            <w:noProof/>
            <w:webHidden/>
          </w:rPr>
          <w:fldChar w:fldCharType="begin"/>
        </w:r>
        <w:r w:rsidR="008A3986">
          <w:rPr>
            <w:noProof/>
            <w:webHidden/>
          </w:rPr>
          <w:instrText xml:space="preserve"> PAGEREF _Toc172389707 \h </w:instrText>
        </w:r>
        <w:r w:rsidR="008A3986">
          <w:rPr>
            <w:noProof/>
            <w:webHidden/>
          </w:rPr>
        </w:r>
        <w:r w:rsidR="008A3986">
          <w:rPr>
            <w:noProof/>
            <w:webHidden/>
          </w:rPr>
          <w:fldChar w:fldCharType="separate"/>
        </w:r>
        <w:r w:rsidR="008A3986">
          <w:rPr>
            <w:noProof/>
            <w:webHidden/>
          </w:rPr>
          <w:t>6</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708" w:history="1">
        <w:r w:rsidR="008A3986" w:rsidRPr="00FB5CBC">
          <w:rPr>
            <w:rStyle w:val="Hyperlink"/>
            <w:noProof/>
          </w:rPr>
          <w:t>Comments</w:t>
        </w:r>
        <w:r w:rsidR="008A3986">
          <w:rPr>
            <w:noProof/>
            <w:webHidden/>
          </w:rPr>
          <w:tab/>
        </w:r>
        <w:r w:rsidR="008A3986">
          <w:rPr>
            <w:noProof/>
            <w:webHidden/>
          </w:rPr>
          <w:fldChar w:fldCharType="begin"/>
        </w:r>
        <w:r w:rsidR="008A3986">
          <w:rPr>
            <w:noProof/>
            <w:webHidden/>
          </w:rPr>
          <w:instrText xml:space="preserve"> PAGEREF _Toc172389708 \h </w:instrText>
        </w:r>
        <w:r w:rsidR="008A3986">
          <w:rPr>
            <w:noProof/>
            <w:webHidden/>
          </w:rPr>
        </w:r>
        <w:r w:rsidR="008A3986">
          <w:rPr>
            <w:noProof/>
            <w:webHidden/>
          </w:rPr>
          <w:fldChar w:fldCharType="separate"/>
        </w:r>
        <w:r w:rsidR="008A3986">
          <w:rPr>
            <w:noProof/>
            <w:webHidden/>
          </w:rPr>
          <w:t>6</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09" w:history="1">
        <w:r w:rsidR="008A3986" w:rsidRPr="00FB5CBC">
          <w:rPr>
            <w:rStyle w:val="Hyperlink"/>
            <w:noProof/>
          </w:rPr>
          <w:t>Header Block</w:t>
        </w:r>
        <w:r w:rsidR="008A3986">
          <w:rPr>
            <w:noProof/>
            <w:webHidden/>
          </w:rPr>
          <w:tab/>
        </w:r>
        <w:r w:rsidR="008A3986">
          <w:rPr>
            <w:noProof/>
            <w:webHidden/>
          </w:rPr>
          <w:fldChar w:fldCharType="begin"/>
        </w:r>
        <w:r w:rsidR="008A3986">
          <w:rPr>
            <w:noProof/>
            <w:webHidden/>
          </w:rPr>
          <w:instrText xml:space="preserve"> PAGEREF _Toc172389709 \h </w:instrText>
        </w:r>
        <w:r w:rsidR="008A3986">
          <w:rPr>
            <w:noProof/>
            <w:webHidden/>
          </w:rPr>
        </w:r>
        <w:r w:rsidR="008A3986">
          <w:rPr>
            <w:noProof/>
            <w:webHidden/>
          </w:rPr>
          <w:fldChar w:fldCharType="separate"/>
        </w:r>
        <w:r w:rsidR="008A3986">
          <w:rPr>
            <w:noProof/>
            <w:webHidden/>
          </w:rPr>
          <w:t>6</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10" w:history="1">
        <w:r w:rsidR="008A3986" w:rsidRPr="00FB5CBC">
          <w:rPr>
            <w:rStyle w:val="Hyperlink"/>
            <w:noProof/>
          </w:rPr>
          <w:t>Member Block</w:t>
        </w:r>
        <w:r w:rsidR="008A3986">
          <w:rPr>
            <w:noProof/>
            <w:webHidden/>
          </w:rPr>
          <w:tab/>
        </w:r>
        <w:r w:rsidR="008A3986">
          <w:rPr>
            <w:noProof/>
            <w:webHidden/>
          </w:rPr>
          <w:fldChar w:fldCharType="begin"/>
        </w:r>
        <w:r w:rsidR="008A3986">
          <w:rPr>
            <w:noProof/>
            <w:webHidden/>
          </w:rPr>
          <w:instrText xml:space="preserve"> PAGEREF _Toc172389710 \h </w:instrText>
        </w:r>
        <w:r w:rsidR="008A3986">
          <w:rPr>
            <w:noProof/>
            <w:webHidden/>
          </w:rPr>
        </w:r>
        <w:r w:rsidR="008A3986">
          <w:rPr>
            <w:noProof/>
            <w:webHidden/>
          </w:rPr>
          <w:fldChar w:fldCharType="separate"/>
        </w:r>
        <w:r w:rsidR="008A3986">
          <w:rPr>
            <w:noProof/>
            <w:webHidden/>
          </w:rPr>
          <w:t>7</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11" w:history="1">
        <w:r w:rsidR="008A3986" w:rsidRPr="00FB5CBC">
          <w:rPr>
            <w:rStyle w:val="Hyperlink"/>
            <w:noProof/>
          </w:rPr>
          <w:t>Section Titles</w:t>
        </w:r>
        <w:r w:rsidR="008A3986">
          <w:rPr>
            <w:noProof/>
            <w:webHidden/>
          </w:rPr>
          <w:tab/>
        </w:r>
        <w:r w:rsidR="008A3986">
          <w:rPr>
            <w:noProof/>
            <w:webHidden/>
          </w:rPr>
          <w:fldChar w:fldCharType="begin"/>
        </w:r>
        <w:r w:rsidR="008A3986">
          <w:rPr>
            <w:noProof/>
            <w:webHidden/>
          </w:rPr>
          <w:instrText xml:space="preserve"> PAGEREF _Toc172389711 \h </w:instrText>
        </w:r>
        <w:r w:rsidR="008A3986">
          <w:rPr>
            <w:noProof/>
            <w:webHidden/>
          </w:rPr>
        </w:r>
        <w:r w:rsidR="008A3986">
          <w:rPr>
            <w:noProof/>
            <w:webHidden/>
          </w:rPr>
          <w:fldChar w:fldCharType="separate"/>
        </w:r>
        <w:r w:rsidR="008A3986">
          <w:rPr>
            <w:noProof/>
            <w:webHidden/>
          </w:rPr>
          <w:t>7</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12" w:history="1">
        <w:r w:rsidR="008A3986" w:rsidRPr="00FB5CBC">
          <w:rPr>
            <w:rStyle w:val="Hyperlink"/>
            <w:noProof/>
          </w:rPr>
          <w:t>Inline Comments</w:t>
        </w:r>
        <w:r w:rsidR="008A3986">
          <w:rPr>
            <w:noProof/>
            <w:webHidden/>
          </w:rPr>
          <w:tab/>
        </w:r>
        <w:r w:rsidR="008A3986">
          <w:rPr>
            <w:noProof/>
            <w:webHidden/>
          </w:rPr>
          <w:fldChar w:fldCharType="begin"/>
        </w:r>
        <w:r w:rsidR="008A3986">
          <w:rPr>
            <w:noProof/>
            <w:webHidden/>
          </w:rPr>
          <w:instrText xml:space="preserve"> PAGEREF _Toc172389712 \h </w:instrText>
        </w:r>
        <w:r w:rsidR="008A3986">
          <w:rPr>
            <w:noProof/>
            <w:webHidden/>
          </w:rPr>
        </w:r>
        <w:r w:rsidR="008A3986">
          <w:rPr>
            <w:noProof/>
            <w:webHidden/>
          </w:rPr>
          <w:fldChar w:fldCharType="separate"/>
        </w:r>
        <w:r w:rsidR="008A3986">
          <w:rPr>
            <w:noProof/>
            <w:webHidden/>
          </w:rPr>
          <w:t>7</w:t>
        </w:r>
        <w:r w:rsidR="008A3986">
          <w:rPr>
            <w:noProof/>
            <w:webHidden/>
          </w:rPr>
          <w:fldChar w:fldCharType="end"/>
        </w:r>
      </w:hyperlink>
    </w:p>
    <w:p w:rsidR="008A3986" w:rsidRDefault="00F10A88">
      <w:pPr>
        <w:pStyle w:val="TOC2"/>
        <w:tabs>
          <w:tab w:val="right" w:leader="dot" w:pos="8630"/>
        </w:tabs>
        <w:rPr>
          <w:rFonts w:asciiTheme="minorHAnsi" w:eastAsiaTheme="minorEastAsia" w:hAnsiTheme="minorHAnsi" w:cstheme="minorBidi"/>
          <w:noProof/>
          <w:sz w:val="22"/>
          <w:szCs w:val="22"/>
        </w:rPr>
      </w:pPr>
      <w:hyperlink w:anchor="_Toc172389713" w:history="1">
        <w:r w:rsidR="008A3986" w:rsidRPr="00FB5CBC">
          <w:rPr>
            <w:rStyle w:val="Hyperlink"/>
            <w:noProof/>
          </w:rPr>
          <w:t>Editorial Comments</w:t>
        </w:r>
        <w:r w:rsidR="008A3986">
          <w:rPr>
            <w:noProof/>
            <w:webHidden/>
          </w:rPr>
          <w:tab/>
        </w:r>
        <w:r w:rsidR="008A3986">
          <w:rPr>
            <w:noProof/>
            <w:webHidden/>
          </w:rPr>
          <w:fldChar w:fldCharType="begin"/>
        </w:r>
        <w:r w:rsidR="008A3986">
          <w:rPr>
            <w:noProof/>
            <w:webHidden/>
          </w:rPr>
          <w:instrText xml:space="preserve"> PAGEREF _Toc172389713 \h </w:instrText>
        </w:r>
        <w:r w:rsidR="008A3986">
          <w:rPr>
            <w:noProof/>
            <w:webHidden/>
          </w:rPr>
        </w:r>
        <w:r w:rsidR="008A3986">
          <w:rPr>
            <w:noProof/>
            <w:webHidden/>
          </w:rPr>
          <w:fldChar w:fldCharType="separate"/>
        </w:r>
        <w:r w:rsidR="008A3986">
          <w:rPr>
            <w:noProof/>
            <w:webHidden/>
          </w:rPr>
          <w:t>8</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714" w:history="1">
        <w:r w:rsidR="008A3986" w:rsidRPr="00FB5CBC">
          <w:rPr>
            <w:rStyle w:val="Hyperlink"/>
            <w:noProof/>
          </w:rPr>
          <w:t>Organization</w:t>
        </w:r>
        <w:r w:rsidR="008A3986">
          <w:rPr>
            <w:noProof/>
            <w:webHidden/>
          </w:rPr>
          <w:tab/>
        </w:r>
        <w:r w:rsidR="008A3986">
          <w:rPr>
            <w:noProof/>
            <w:webHidden/>
          </w:rPr>
          <w:fldChar w:fldCharType="begin"/>
        </w:r>
        <w:r w:rsidR="008A3986">
          <w:rPr>
            <w:noProof/>
            <w:webHidden/>
          </w:rPr>
          <w:instrText xml:space="preserve"> PAGEREF _Toc172389714 \h </w:instrText>
        </w:r>
        <w:r w:rsidR="008A3986">
          <w:rPr>
            <w:noProof/>
            <w:webHidden/>
          </w:rPr>
        </w:r>
        <w:r w:rsidR="008A3986">
          <w:rPr>
            <w:noProof/>
            <w:webHidden/>
          </w:rPr>
          <w:fldChar w:fldCharType="separate"/>
        </w:r>
        <w:r w:rsidR="008A3986">
          <w:rPr>
            <w:noProof/>
            <w:webHidden/>
          </w:rPr>
          <w:t>8</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715" w:history="1">
        <w:r w:rsidR="008A3986" w:rsidRPr="00FB5CBC">
          <w:rPr>
            <w:rStyle w:val="Hyperlink"/>
            <w:noProof/>
          </w:rPr>
          <w:t>Conclusion</w:t>
        </w:r>
        <w:r w:rsidR="008A3986">
          <w:rPr>
            <w:noProof/>
            <w:webHidden/>
          </w:rPr>
          <w:tab/>
        </w:r>
        <w:r w:rsidR="008A3986">
          <w:rPr>
            <w:noProof/>
            <w:webHidden/>
          </w:rPr>
          <w:fldChar w:fldCharType="begin"/>
        </w:r>
        <w:r w:rsidR="008A3986">
          <w:rPr>
            <w:noProof/>
            <w:webHidden/>
          </w:rPr>
          <w:instrText xml:space="preserve"> PAGEREF _Toc172389715 \h </w:instrText>
        </w:r>
        <w:r w:rsidR="008A3986">
          <w:rPr>
            <w:noProof/>
            <w:webHidden/>
          </w:rPr>
        </w:r>
        <w:r w:rsidR="008A3986">
          <w:rPr>
            <w:noProof/>
            <w:webHidden/>
          </w:rPr>
          <w:fldChar w:fldCharType="separate"/>
        </w:r>
        <w:r w:rsidR="008A3986">
          <w:rPr>
            <w:noProof/>
            <w:webHidden/>
          </w:rPr>
          <w:t>8</w:t>
        </w:r>
        <w:r w:rsidR="008A3986">
          <w:rPr>
            <w:noProof/>
            <w:webHidden/>
          </w:rPr>
          <w:fldChar w:fldCharType="end"/>
        </w:r>
      </w:hyperlink>
    </w:p>
    <w:p w:rsidR="008A3986" w:rsidRDefault="00F10A88">
      <w:pPr>
        <w:pStyle w:val="TOC1"/>
        <w:tabs>
          <w:tab w:val="right" w:leader="dot" w:pos="8630"/>
        </w:tabs>
        <w:rPr>
          <w:rFonts w:asciiTheme="minorHAnsi" w:eastAsiaTheme="minorEastAsia" w:hAnsiTheme="minorHAnsi" w:cstheme="minorBidi"/>
          <w:noProof/>
          <w:sz w:val="22"/>
          <w:szCs w:val="22"/>
        </w:rPr>
      </w:pPr>
      <w:hyperlink w:anchor="_Toc172389716" w:history="1">
        <w:r w:rsidR="008A3986" w:rsidRPr="00FB5CBC">
          <w:rPr>
            <w:rStyle w:val="Hyperlink"/>
            <w:noProof/>
          </w:rPr>
          <w:t>Works Cited</w:t>
        </w:r>
        <w:r w:rsidR="008A3986">
          <w:rPr>
            <w:noProof/>
            <w:webHidden/>
          </w:rPr>
          <w:tab/>
        </w:r>
        <w:r w:rsidR="008A3986">
          <w:rPr>
            <w:noProof/>
            <w:webHidden/>
          </w:rPr>
          <w:fldChar w:fldCharType="begin"/>
        </w:r>
        <w:r w:rsidR="008A3986">
          <w:rPr>
            <w:noProof/>
            <w:webHidden/>
          </w:rPr>
          <w:instrText xml:space="preserve"> PAGEREF _Toc172389716 \h </w:instrText>
        </w:r>
        <w:r w:rsidR="008A3986">
          <w:rPr>
            <w:noProof/>
            <w:webHidden/>
          </w:rPr>
        </w:r>
        <w:r w:rsidR="008A3986">
          <w:rPr>
            <w:noProof/>
            <w:webHidden/>
          </w:rPr>
          <w:fldChar w:fldCharType="separate"/>
        </w:r>
        <w:r w:rsidR="008A3986">
          <w:rPr>
            <w:noProof/>
            <w:webHidden/>
          </w:rPr>
          <w:t>8</w:t>
        </w:r>
        <w:r w:rsidR="008A3986">
          <w:rPr>
            <w:noProof/>
            <w:webHidden/>
          </w:rPr>
          <w:fldChar w:fldCharType="end"/>
        </w:r>
      </w:hyperlink>
    </w:p>
    <w:p w:rsidR="001806FE" w:rsidRPr="00520ED3" w:rsidRDefault="00526342" w:rsidP="001806FE">
      <w:r>
        <w:fldChar w:fldCharType="end"/>
      </w:r>
    </w:p>
    <w:p w:rsidR="001806FE" w:rsidRPr="002B76E4" w:rsidRDefault="00526342" w:rsidP="001806FE">
      <w:pPr>
        <w:pStyle w:val="BodyText"/>
      </w:pPr>
      <w:r>
        <w:t xml:space="preserve"> </w:t>
      </w:r>
    </w:p>
    <w:p w:rsidR="001806FE" w:rsidRDefault="00526342">
      <w:pPr>
        <w:pStyle w:val="Heading1"/>
      </w:pPr>
      <w:bookmarkStart w:id="23" w:name="_Toc95204571"/>
      <w:r>
        <w:br w:type="page"/>
      </w:r>
      <w:bookmarkStart w:id="24" w:name="_Toc172389690"/>
      <w:r>
        <w:lastRenderedPageBreak/>
        <w:t>Capitalization</w:t>
      </w:r>
      <w:bookmarkEnd w:id="23"/>
      <w:bookmarkEnd w:id="24"/>
    </w:p>
    <w:p w:rsidR="001806FE" w:rsidRDefault="00D32D54" w:rsidP="00AF18D3">
      <w:r>
        <w:t>Ignia follows Microsoft’</w:t>
      </w:r>
      <w:r w:rsidR="006E4958">
        <w:t>s guidelines for capitalization</w:t>
      </w:r>
      <w:r>
        <w:t xml:space="preserve"> as outlined in the Class Library Design </w:t>
      </w:r>
      <w:r w:rsidR="00AF18D3">
        <w:t>Guidelines</w:t>
      </w:r>
      <w:r>
        <w:t xml:space="preserve"> </w:t>
      </w:r>
      <w:r w:rsidR="00AF18D3">
        <w:t>as well as</w:t>
      </w:r>
      <w:r>
        <w:t xml:space="preserve"> their Internal Coding Guidelines</w:t>
      </w:r>
      <w:sdt>
        <w:sdtPr>
          <w:id w:val="484060497"/>
          <w:citation/>
        </w:sdtPr>
        <w:sdtEndPr/>
        <w:sdtContent>
          <w:r w:rsidR="00AF18D3">
            <w:fldChar w:fldCharType="begin"/>
          </w:r>
          <w:r w:rsidR="00AF18D3">
            <w:rPr>
              <w:noProof/>
            </w:rPr>
            <w:instrText xml:space="preserve"> CITATION Mic05 \l 1033 </w:instrText>
          </w:r>
          <w:r w:rsidR="00AF18D3">
            <w:fldChar w:fldCharType="separate"/>
          </w:r>
          <w:r w:rsidR="00AF18D3">
            <w:rPr>
              <w:noProof/>
            </w:rPr>
            <w:t xml:space="preserve"> (Microsoft Corporation, 2005)</w:t>
          </w:r>
          <w:r w:rsidR="00AF18D3">
            <w:fldChar w:fldCharType="end"/>
          </w:r>
        </w:sdtContent>
      </w:sdt>
      <w:r>
        <w:t xml:space="preserve">.  </w:t>
      </w:r>
      <w:r w:rsidR="00AF18D3">
        <w:t>At a high level, variables and parameters should use camelCase</w:t>
      </w:r>
      <w:r w:rsidR="006E4958">
        <w:t xml:space="preserve"> whereas everything else (namespaces, classes, members, etc) should be PascalCase</w:t>
      </w:r>
      <w:r w:rsidR="00AF18D3">
        <w:t>.</w:t>
      </w:r>
      <w:r w:rsidR="00A615DD">
        <w:t xml:space="preserve">  This section summarizes Microsoft’s standards for capitalization.</w:t>
      </w:r>
    </w:p>
    <w:p w:rsidR="006E4958" w:rsidRDefault="006E4958" w:rsidP="006E4958">
      <w:pPr>
        <w:pStyle w:val="Heading2"/>
      </w:pPr>
      <w:bookmarkStart w:id="25" w:name="_Toc172389691"/>
      <w:r>
        <w:t>Summary</w:t>
      </w:r>
      <w:bookmarkEnd w:id="25"/>
    </w:p>
    <w:tbl>
      <w:tblPr>
        <w:tblStyle w:val="TableGrid"/>
        <w:tblW w:w="80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970"/>
        <w:gridCol w:w="3060"/>
      </w:tblGrid>
      <w:tr w:rsidR="006E4958" w:rsidTr="006E4958">
        <w:tc>
          <w:tcPr>
            <w:tcW w:w="1998" w:type="dxa"/>
          </w:tcPr>
          <w:p w:rsidR="006E4958" w:rsidRDefault="006E4958" w:rsidP="00AF18D3"/>
        </w:tc>
        <w:tc>
          <w:tcPr>
            <w:tcW w:w="2970" w:type="dxa"/>
          </w:tcPr>
          <w:p w:rsidR="006E4958" w:rsidRPr="006E4958" w:rsidRDefault="006E4958" w:rsidP="00AF18D3">
            <w:pPr>
              <w:rPr>
                <w:i/>
              </w:rPr>
            </w:pPr>
            <w:r w:rsidRPr="006E4958">
              <w:rPr>
                <w:i/>
              </w:rPr>
              <w:t>Capitalization Format</w:t>
            </w:r>
          </w:p>
        </w:tc>
        <w:tc>
          <w:tcPr>
            <w:tcW w:w="3060" w:type="dxa"/>
          </w:tcPr>
          <w:p w:rsidR="006E4958" w:rsidRPr="006E4958" w:rsidRDefault="006E4958" w:rsidP="00AF18D3">
            <w:pPr>
              <w:rPr>
                <w:i/>
              </w:rPr>
            </w:pPr>
            <w:r w:rsidRPr="006E4958">
              <w:rPr>
                <w:i/>
              </w:rPr>
              <w:t>Example</w:t>
            </w:r>
          </w:p>
        </w:tc>
      </w:tr>
      <w:tr w:rsidR="006E4958" w:rsidTr="006E4958">
        <w:tc>
          <w:tcPr>
            <w:tcW w:w="1998" w:type="dxa"/>
          </w:tcPr>
          <w:p w:rsidR="006E4958" w:rsidRDefault="006E4958" w:rsidP="00AF18D3">
            <w:r>
              <w:t>Namespace</w:t>
            </w:r>
          </w:p>
        </w:tc>
        <w:tc>
          <w:tcPr>
            <w:tcW w:w="2970" w:type="dxa"/>
          </w:tcPr>
          <w:p w:rsidR="006E4958" w:rsidRDefault="006E4958" w:rsidP="00AF18D3">
            <w:r>
              <w:t>PascalCase</w:t>
            </w:r>
          </w:p>
        </w:tc>
        <w:tc>
          <w:tcPr>
            <w:tcW w:w="3060" w:type="dxa"/>
          </w:tcPr>
          <w:p w:rsidR="006E4958" w:rsidRDefault="006E4958" w:rsidP="00AF18D3">
            <w:r>
              <w:t>Ignia.Web.Tools</w:t>
            </w:r>
          </w:p>
        </w:tc>
      </w:tr>
      <w:tr w:rsidR="006E4958" w:rsidTr="006E4958">
        <w:tc>
          <w:tcPr>
            <w:tcW w:w="1998" w:type="dxa"/>
          </w:tcPr>
          <w:p w:rsidR="006E4958" w:rsidRDefault="006E4958" w:rsidP="00AF18D3">
            <w:r>
              <w:t>Class Name</w:t>
            </w:r>
          </w:p>
        </w:tc>
        <w:tc>
          <w:tcPr>
            <w:tcW w:w="2970" w:type="dxa"/>
          </w:tcPr>
          <w:p w:rsidR="006E4958" w:rsidRDefault="006E4958" w:rsidP="00AF18D3">
            <w:r>
              <w:t>PascalCase</w:t>
            </w:r>
          </w:p>
        </w:tc>
        <w:tc>
          <w:tcPr>
            <w:tcW w:w="3060" w:type="dxa"/>
          </w:tcPr>
          <w:p w:rsidR="006E4958" w:rsidRDefault="006E4958" w:rsidP="00AF18D3">
            <w:r>
              <w:t>Utility</w:t>
            </w:r>
          </w:p>
        </w:tc>
      </w:tr>
      <w:tr w:rsidR="006E4958" w:rsidTr="006E4958">
        <w:tc>
          <w:tcPr>
            <w:tcW w:w="1998" w:type="dxa"/>
          </w:tcPr>
          <w:p w:rsidR="006E4958" w:rsidRDefault="006E4958" w:rsidP="006E4958">
            <w:r>
              <w:t>Members</w:t>
            </w:r>
          </w:p>
        </w:tc>
        <w:tc>
          <w:tcPr>
            <w:tcW w:w="2970" w:type="dxa"/>
          </w:tcPr>
          <w:p w:rsidR="006E4958" w:rsidRDefault="006E4958" w:rsidP="00AF18D3">
            <w:r>
              <w:t>PascalCase</w:t>
            </w:r>
          </w:p>
        </w:tc>
        <w:tc>
          <w:tcPr>
            <w:tcW w:w="3060" w:type="dxa"/>
          </w:tcPr>
          <w:p w:rsidR="006E4958" w:rsidRDefault="006E4958" w:rsidP="00AF18D3">
            <w:r>
              <w:t>Method(), Property</w:t>
            </w:r>
          </w:p>
        </w:tc>
      </w:tr>
      <w:tr w:rsidR="006E4958" w:rsidTr="006E4958">
        <w:tc>
          <w:tcPr>
            <w:tcW w:w="1998" w:type="dxa"/>
          </w:tcPr>
          <w:p w:rsidR="006E4958" w:rsidRDefault="006E4958" w:rsidP="006E4958">
            <w:r>
              <w:t>Member Variables</w:t>
            </w:r>
          </w:p>
        </w:tc>
        <w:tc>
          <w:tcPr>
            <w:tcW w:w="2970" w:type="dxa"/>
          </w:tcPr>
          <w:p w:rsidR="006E4958" w:rsidRDefault="006E4958" w:rsidP="00AF18D3">
            <w:r>
              <w:t>camelCase</w:t>
            </w:r>
          </w:p>
        </w:tc>
        <w:tc>
          <w:tcPr>
            <w:tcW w:w="3060" w:type="dxa"/>
          </w:tcPr>
          <w:p w:rsidR="006E4958" w:rsidRDefault="006E4958" w:rsidP="00AF18D3">
            <w:r>
              <w:t>_email</w:t>
            </w:r>
          </w:p>
        </w:tc>
      </w:tr>
      <w:tr w:rsidR="006E4958" w:rsidTr="006E4958">
        <w:tc>
          <w:tcPr>
            <w:tcW w:w="1998" w:type="dxa"/>
          </w:tcPr>
          <w:p w:rsidR="006E4958" w:rsidRDefault="006E4958" w:rsidP="006E4958">
            <w:r>
              <w:t>Local Variables</w:t>
            </w:r>
          </w:p>
        </w:tc>
        <w:tc>
          <w:tcPr>
            <w:tcW w:w="2970" w:type="dxa"/>
          </w:tcPr>
          <w:p w:rsidR="006E4958" w:rsidRDefault="006E4958" w:rsidP="00AF18D3">
            <w:r>
              <w:t>camelCase</w:t>
            </w:r>
          </w:p>
        </w:tc>
        <w:tc>
          <w:tcPr>
            <w:tcW w:w="3060" w:type="dxa"/>
          </w:tcPr>
          <w:p w:rsidR="006E4958" w:rsidRDefault="006E4958" w:rsidP="00AF18D3">
            <w:r>
              <w:t>email</w:t>
            </w:r>
          </w:p>
        </w:tc>
      </w:tr>
      <w:tr w:rsidR="006E4958" w:rsidTr="006E4958">
        <w:tc>
          <w:tcPr>
            <w:tcW w:w="1998" w:type="dxa"/>
          </w:tcPr>
          <w:p w:rsidR="006E4958" w:rsidRDefault="006E4958" w:rsidP="006E4958">
            <w:r>
              <w:t>Parameter</w:t>
            </w:r>
          </w:p>
        </w:tc>
        <w:tc>
          <w:tcPr>
            <w:tcW w:w="2970" w:type="dxa"/>
          </w:tcPr>
          <w:p w:rsidR="006E4958" w:rsidRDefault="006E4958" w:rsidP="00AF18D3">
            <w:r>
              <w:t>camelCase</w:t>
            </w:r>
          </w:p>
        </w:tc>
        <w:tc>
          <w:tcPr>
            <w:tcW w:w="3060" w:type="dxa"/>
          </w:tcPr>
          <w:p w:rsidR="006E4958" w:rsidRDefault="006E4958" w:rsidP="00AF18D3">
            <w:r>
              <w:t>email</w:t>
            </w:r>
          </w:p>
        </w:tc>
      </w:tr>
      <w:tr w:rsidR="006E4958" w:rsidTr="006E4958">
        <w:tc>
          <w:tcPr>
            <w:tcW w:w="1998" w:type="dxa"/>
          </w:tcPr>
          <w:p w:rsidR="006E4958" w:rsidRDefault="006E4958" w:rsidP="006E4958">
            <w:r>
              <w:t>Interfaces</w:t>
            </w:r>
          </w:p>
        </w:tc>
        <w:tc>
          <w:tcPr>
            <w:tcW w:w="2970" w:type="dxa"/>
          </w:tcPr>
          <w:p w:rsidR="006E4958" w:rsidRDefault="006E4958" w:rsidP="00AF18D3">
            <w:r>
              <w:t>PascalCase</w:t>
            </w:r>
          </w:p>
        </w:tc>
        <w:tc>
          <w:tcPr>
            <w:tcW w:w="3060" w:type="dxa"/>
          </w:tcPr>
          <w:p w:rsidR="006E4958" w:rsidRDefault="006E4958" w:rsidP="00AF18D3">
            <w:r>
              <w:t>IInterface</w:t>
            </w:r>
          </w:p>
        </w:tc>
      </w:tr>
      <w:tr w:rsidR="00A9064E" w:rsidTr="006E4958">
        <w:tc>
          <w:tcPr>
            <w:tcW w:w="1998" w:type="dxa"/>
          </w:tcPr>
          <w:p w:rsidR="00A9064E" w:rsidRDefault="00A9064E" w:rsidP="006E4958">
            <w:r>
              <w:t>Form Fields</w:t>
            </w:r>
          </w:p>
        </w:tc>
        <w:tc>
          <w:tcPr>
            <w:tcW w:w="2970" w:type="dxa"/>
          </w:tcPr>
          <w:p w:rsidR="00A9064E" w:rsidRPr="00A9064E" w:rsidRDefault="00A9064E" w:rsidP="00AF18D3">
            <w:pPr>
              <w:rPr>
                <w:i/>
              </w:rPr>
            </w:pPr>
            <w:r>
              <w:rPr>
                <w:i/>
              </w:rPr>
              <w:t>Varies; See “Naming Conventions”</w:t>
            </w:r>
          </w:p>
        </w:tc>
        <w:tc>
          <w:tcPr>
            <w:tcW w:w="3060" w:type="dxa"/>
          </w:tcPr>
          <w:p w:rsidR="00A9064E" w:rsidRDefault="00A9064E" w:rsidP="00AF18D3">
            <w:r>
              <w:t>Country, btnSubmit</w:t>
            </w:r>
          </w:p>
        </w:tc>
      </w:tr>
    </w:tbl>
    <w:p w:rsidR="001806FE" w:rsidRDefault="00260CA7" w:rsidP="001806FE">
      <w:pPr>
        <w:pStyle w:val="Heading2"/>
      </w:pPr>
      <w:bookmarkStart w:id="26" w:name="_Toc172389692"/>
      <w:r>
        <w:t>Public Fields</w:t>
      </w:r>
      <w:bookmarkEnd w:id="26"/>
    </w:p>
    <w:p w:rsidR="001806FE" w:rsidRPr="009517CB" w:rsidRDefault="00260CA7" w:rsidP="00260CA7">
      <w:pPr>
        <w:pStyle w:val="BodyText"/>
      </w:pPr>
      <w:r>
        <w:t>Microsoft recommends against public fields</w:t>
      </w:r>
      <w:r>
        <w:rPr>
          <w:rStyle w:val="FootnoteReference"/>
        </w:rPr>
        <w:footnoteReference w:id="1"/>
      </w:r>
      <w:r>
        <w:t>; instead, fields should be exposed via properties.  As a result, fields should always be private and thus camelCase</w:t>
      </w:r>
      <w:r w:rsidR="00EF5E8D">
        <w:t>; for information on naming conventions, see “Private Fields” below</w:t>
      </w:r>
      <w:r>
        <w:t xml:space="preserve">.  The one exception to this is User Controls </w:t>
      </w:r>
      <w:r w:rsidR="00EF5E8D">
        <w:t xml:space="preserve">(including </w:t>
      </w:r>
      <w:r>
        <w:t>Master Pages</w:t>
      </w:r>
      <w:r w:rsidR="00EF5E8D">
        <w:t>)</w:t>
      </w:r>
      <w:r>
        <w:t xml:space="preserve"> where, for simplicity, fields may be made public; since public fields act as properties, they should use PascalCase. Web forms (ASPX pages) may use either format, although generally</w:t>
      </w:r>
      <w:r w:rsidR="00A9064E">
        <w:t xml:space="preserve"> all members implemented at the page level should be treated as private and thus fields should be camelCase</w:t>
      </w:r>
      <w:r w:rsidR="00526342">
        <w:t>.</w:t>
      </w:r>
    </w:p>
    <w:p w:rsidR="001806FE" w:rsidRDefault="00526342" w:rsidP="001806FE">
      <w:pPr>
        <w:pStyle w:val="Heading2"/>
      </w:pPr>
      <w:bookmarkStart w:id="27" w:name="_Toc95204574"/>
      <w:bookmarkStart w:id="28" w:name="_Toc172389693"/>
      <w:r>
        <w:t>Client Ambiguity Exception</w:t>
      </w:r>
      <w:bookmarkEnd w:id="27"/>
      <w:bookmarkEnd w:id="28"/>
    </w:p>
    <w:p w:rsidR="001806FE" w:rsidRPr="00A0407B" w:rsidRDefault="00526342" w:rsidP="001806FE">
      <w:pPr>
        <w:pStyle w:val="BodyText"/>
      </w:pPr>
      <w:r>
        <w:t xml:space="preserve">If the name of the field will be exposed to another development environment (such as an HTML Server Control) then it is </w:t>
      </w:r>
      <w:r w:rsidRPr="00A9064E">
        <w:t>permitted</w:t>
      </w:r>
      <w:r>
        <w:t xml:space="preserve"> for the capitalization to follow the naming and capitalization style standards dictated by the client application (if applicable) to maintain c</w:t>
      </w:r>
      <w:r w:rsidR="00A9064E">
        <w:t>onsistency with client scripts; this is particularly an issue with web pages, where server controls (and their properties) may be exposed as XHTML and be accessible via JavaScript</w:t>
      </w:r>
      <w:r>
        <w:t>.</w:t>
      </w:r>
    </w:p>
    <w:p w:rsidR="006970B5" w:rsidRDefault="006970B5" w:rsidP="006970B5">
      <w:pPr>
        <w:pStyle w:val="Heading2"/>
      </w:pPr>
      <w:bookmarkStart w:id="29" w:name="_Toc172389694"/>
      <w:bookmarkStart w:id="30" w:name="_Toc95204575"/>
      <w:r>
        <w:t>Abbreviations</w:t>
      </w:r>
      <w:bookmarkEnd w:id="29"/>
    </w:p>
    <w:p w:rsidR="006970B5" w:rsidRPr="006970B5" w:rsidRDefault="00C31CEE" w:rsidP="006970B5">
      <w:pPr>
        <w:pStyle w:val="BodyText"/>
      </w:pPr>
      <w:r>
        <w:t xml:space="preserve">Abbreviations should not be used in identifiers.  The two exceptions to this are “ID” and “OK”.  When used as an identifier, these abbreviations should be capitalized (e.g., “ID”); however, when </w:t>
      </w:r>
      <w:r w:rsidRPr="00C31CEE">
        <w:rPr>
          <w:i/>
        </w:rPr>
        <w:t>contained</w:t>
      </w:r>
      <w:r>
        <w:t xml:space="preserve"> in an identifier they should use PascalCase (e.g., “UserId”).  The exception to this is when used as the first (or only) word in a camelCase identifier, in which they should be lower case (e.g., “id”). </w:t>
      </w:r>
    </w:p>
    <w:p w:rsidR="001806FE" w:rsidRDefault="00526342" w:rsidP="001806FE">
      <w:pPr>
        <w:pStyle w:val="Heading2"/>
      </w:pPr>
      <w:bookmarkStart w:id="31" w:name="_Toc172389695"/>
      <w:r>
        <w:t>Acronyms</w:t>
      </w:r>
      <w:bookmarkEnd w:id="30"/>
      <w:bookmarkEnd w:id="31"/>
    </w:p>
    <w:p w:rsidR="00A615DD" w:rsidRDefault="00526342" w:rsidP="001806FE">
      <w:pPr>
        <w:pStyle w:val="BodyText"/>
      </w:pPr>
      <w:r>
        <w:t>Popular industry acronyms may be u</w:t>
      </w:r>
      <w:r w:rsidR="006970B5">
        <w:t>sed as part of standard names.  Only the first letter of an acronym should be capitalized, unless</w:t>
      </w:r>
      <w:r w:rsidR="00A615DD">
        <w:t>:</w:t>
      </w:r>
    </w:p>
    <w:p w:rsidR="00A615DD" w:rsidRDefault="00A615DD" w:rsidP="00A615DD">
      <w:pPr>
        <w:pStyle w:val="BodyText"/>
        <w:numPr>
          <w:ilvl w:val="0"/>
          <w:numId w:val="18"/>
        </w:numPr>
      </w:pPr>
      <w:r>
        <w:t>It is used as the first word in a</w:t>
      </w:r>
      <w:r w:rsidR="006970B5">
        <w:t xml:space="preserve"> camelCase </w:t>
      </w:r>
      <w:r>
        <w:t>identifier (</w:t>
      </w:r>
      <w:r w:rsidR="006970B5">
        <w:t xml:space="preserve">in which it should be lower case) </w:t>
      </w:r>
      <w:r w:rsidR="006970B5">
        <w:rPr>
          <w:i/>
        </w:rPr>
        <w:t>or</w:t>
      </w:r>
      <w:r w:rsidR="006970B5">
        <w:t xml:space="preserve"> </w:t>
      </w:r>
    </w:p>
    <w:p w:rsidR="001806FE" w:rsidRDefault="00A615DD" w:rsidP="00A615DD">
      <w:pPr>
        <w:pStyle w:val="BodyText"/>
        <w:numPr>
          <w:ilvl w:val="0"/>
          <w:numId w:val="18"/>
        </w:numPr>
      </w:pPr>
      <w:r>
        <w:lastRenderedPageBreak/>
        <w:t>T</w:t>
      </w:r>
      <w:r w:rsidR="006970B5">
        <w:t>he acronym is only two letters (e.g., “IO”, “DB”) (in which it should be capitalized)</w:t>
      </w:r>
      <w:r w:rsidR="00526342">
        <w:t>.</w:t>
      </w:r>
      <w:r w:rsidR="006970B5">
        <w:t xml:space="preserve">  </w:t>
      </w:r>
    </w:p>
    <w:p w:rsidR="006970B5" w:rsidRDefault="006970B5" w:rsidP="006970B5">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8"/>
        <w:gridCol w:w="4038"/>
      </w:tblGrid>
      <w:tr w:rsidR="006970B5" w:rsidTr="00A615DD">
        <w:tc>
          <w:tcPr>
            <w:tcW w:w="4098" w:type="dxa"/>
          </w:tcPr>
          <w:p w:rsidR="006970B5" w:rsidRPr="006970B5" w:rsidRDefault="006970B5" w:rsidP="006970B5">
            <w:pPr>
              <w:pStyle w:val="BodyTextIndent2"/>
              <w:ind w:left="0"/>
              <w:rPr>
                <w:i/>
              </w:rPr>
            </w:pPr>
            <w:r w:rsidRPr="006970B5">
              <w:rPr>
                <w:i/>
              </w:rPr>
              <w:t>PascalCase</w:t>
            </w:r>
          </w:p>
        </w:tc>
        <w:tc>
          <w:tcPr>
            <w:tcW w:w="4038" w:type="dxa"/>
          </w:tcPr>
          <w:p w:rsidR="006970B5" w:rsidRPr="006970B5" w:rsidRDefault="006970B5" w:rsidP="00A615DD">
            <w:pPr>
              <w:pStyle w:val="BodyTextIndent2"/>
              <w:ind w:left="0"/>
              <w:rPr>
                <w:i/>
              </w:rPr>
            </w:pPr>
            <w:r w:rsidRPr="006970B5">
              <w:rPr>
                <w:i/>
              </w:rPr>
              <w:t>camelCase</w:t>
            </w:r>
            <w:r w:rsidR="00A615DD">
              <w:rPr>
                <w:i/>
              </w:rPr>
              <w:t xml:space="preserve"> (first word)</w:t>
            </w:r>
          </w:p>
        </w:tc>
      </w:tr>
      <w:tr w:rsidR="006970B5" w:rsidTr="00A615DD">
        <w:tc>
          <w:tcPr>
            <w:tcW w:w="4098" w:type="dxa"/>
          </w:tcPr>
          <w:p w:rsidR="006970B5" w:rsidRDefault="006970B5" w:rsidP="006970B5">
            <w:pPr>
              <w:pStyle w:val="BodyTextIndent2"/>
              <w:ind w:left="0"/>
            </w:pPr>
            <w:r>
              <w:t>Xml (e.g., XmlDocument)</w:t>
            </w:r>
          </w:p>
        </w:tc>
        <w:tc>
          <w:tcPr>
            <w:tcW w:w="4038" w:type="dxa"/>
          </w:tcPr>
          <w:p w:rsidR="006970B5" w:rsidRDefault="006970B5" w:rsidP="00A615DD">
            <w:pPr>
              <w:pStyle w:val="BodyTextIndent2"/>
              <w:ind w:left="0"/>
            </w:pPr>
            <w:r>
              <w:t xml:space="preserve">xml </w:t>
            </w:r>
            <w:r w:rsidR="00A615DD">
              <w:t xml:space="preserve"> (e.g., “xmlWriter”)</w:t>
            </w:r>
          </w:p>
        </w:tc>
      </w:tr>
      <w:tr w:rsidR="006970B5" w:rsidTr="00A615DD">
        <w:tc>
          <w:tcPr>
            <w:tcW w:w="4098" w:type="dxa"/>
          </w:tcPr>
          <w:p w:rsidR="006970B5" w:rsidRDefault="006970B5" w:rsidP="006970B5">
            <w:pPr>
              <w:pStyle w:val="BodyTextIndent2"/>
              <w:ind w:left="0"/>
            </w:pPr>
            <w:r>
              <w:t>IO (e.g., “System.IO”)</w:t>
            </w:r>
          </w:p>
        </w:tc>
        <w:tc>
          <w:tcPr>
            <w:tcW w:w="4038" w:type="dxa"/>
          </w:tcPr>
          <w:p w:rsidR="006970B5" w:rsidRDefault="006970B5" w:rsidP="006970B5">
            <w:pPr>
              <w:pStyle w:val="BodyTextIndent2"/>
              <w:ind w:left="0"/>
            </w:pPr>
            <w:r>
              <w:t>io</w:t>
            </w:r>
            <w:r w:rsidR="00A615DD">
              <w:t xml:space="preserve"> (e.g., “ioChannel”)</w:t>
            </w:r>
          </w:p>
        </w:tc>
      </w:tr>
    </w:tbl>
    <w:p w:rsidR="001806FE" w:rsidRDefault="00526342" w:rsidP="001806FE">
      <w:pPr>
        <w:pStyle w:val="Heading2"/>
      </w:pPr>
      <w:bookmarkStart w:id="32" w:name="_Toc95204576"/>
      <w:bookmarkStart w:id="33" w:name="_Toc172389696"/>
      <w:r>
        <w:t>Case Sensitivity</w:t>
      </w:r>
      <w:bookmarkEnd w:id="32"/>
      <w:bookmarkEnd w:id="33"/>
    </w:p>
    <w:p w:rsidR="001806FE" w:rsidRPr="00133A9E" w:rsidRDefault="00526342" w:rsidP="001806FE">
      <w:pPr>
        <w:pStyle w:val="BodyText"/>
      </w:pPr>
      <w:r>
        <w:t xml:space="preserve">Case sensitivity should not be relied on to distinguish elements; e.g., do not have two different methods named GetResources() and Getresources().  If capitalization rules are applied consistently then this should not be an issue. </w:t>
      </w:r>
    </w:p>
    <w:p w:rsidR="001806FE" w:rsidRDefault="00526342" w:rsidP="001806FE">
      <w:pPr>
        <w:pStyle w:val="Heading1"/>
      </w:pPr>
      <w:bookmarkStart w:id="34" w:name="_Toc95204577"/>
      <w:bookmarkStart w:id="35" w:name="_Toc172389697"/>
      <w:r>
        <w:t>Naming Conventions</w:t>
      </w:r>
      <w:bookmarkEnd w:id="34"/>
      <w:bookmarkEnd w:id="35"/>
    </w:p>
    <w:p w:rsidR="001806FE" w:rsidRDefault="00A615DD" w:rsidP="001806FE">
      <w:r>
        <w:t xml:space="preserve">The following naming conventions should be adhered to in conjunction with the above capitalization rules.  </w:t>
      </w:r>
      <w:r w:rsidR="00526342">
        <w:t xml:space="preserve">In additional to these conventions, developers working on class libraries should be familiar with Microsoft’s recommended naming conventions for various class </w:t>
      </w:r>
      <w:r>
        <w:t>identifiers</w:t>
      </w:r>
      <w:sdt>
        <w:sdtPr>
          <w:id w:val="484060501"/>
          <w:citation/>
        </w:sdtPr>
        <w:sdtEndPr/>
        <w:sdtContent>
          <w:r w:rsidR="00532E23">
            <w:fldChar w:fldCharType="begin"/>
          </w:r>
          <w:r w:rsidR="00532E23">
            <w:instrText xml:space="preserve"> CITATION Mic052 \l 1033 </w:instrText>
          </w:r>
          <w:r w:rsidR="00532E23">
            <w:fldChar w:fldCharType="separate"/>
          </w:r>
          <w:r>
            <w:rPr>
              <w:noProof/>
            </w:rPr>
            <w:t xml:space="preserve"> (Microsoft Corporation, 2005)</w:t>
          </w:r>
          <w:r w:rsidR="00532E23">
            <w:rPr>
              <w:noProof/>
            </w:rPr>
            <w:fldChar w:fldCharType="end"/>
          </w:r>
        </w:sdtContent>
      </w:sdt>
      <w:r w:rsidR="00526342">
        <w:t xml:space="preserve">. </w:t>
      </w:r>
    </w:p>
    <w:p w:rsidR="00EF5E8D" w:rsidRDefault="00EF5E8D" w:rsidP="00EF5E8D">
      <w:pPr>
        <w:pStyle w:val="Heading2"/>
      </w:pPr>
      <w:bookmarkStart w:id="36" w:name="_Toc95204581"/>
      <w:bookmarkStart w:id="37" w:name="_Toc172389698"/>
      <w:bookmarkStart w:id="38" w:name="_Toc95204580"/>
      <w:r>
        <w:t>Namespaces</w:t>
      </w:r>
      <w:bookmarkEnd w:id="36"/>
      <w:bookmarkEnd w:id="37"/>
    </w:p>
    <w:p w:rsidR="00EF5E8D" w:rsidRDefault="00EF5E8D" w:rsidP="00EF5E8D">
      <w:pPr>
        <w:pStyle w:val="BodyText"/>
      </w:pPr>
      <w:r>
        <w:t xml:space="preserve">Namespaces should follow the convention </w:t>
      </w:r>
      <w:r w:rsidRPr="008E5414">
        <w:t>CompanyName.TechnologyName[.Feature][.Design]</w:t>
      </w:r>
      <w:r>
        <w:t>.  For instance, Ignia.Toolbox</w:t>
      </w:r>
      <w:sdt>
        <w:sdtPr>
          <w:id w:val="484060502"/>
          <w:citation/>
        </w:sdtPr>
        <w:sdtEndPr/>
        <w:sdtContent>
          <w:r w:rsidR="00532E23">
            <w:fldChar w:fldCharType="begin"/>
          </w:r>
          <w:r w:rsidR="00532E23">
            <w:instrText xml:space="preserve"> CITATION Mic052 \l 1033 </w:instrText>
          </w:r>
          <w:r w:rsidR="00532E23">
            <w:fldChar w:fldCharType="separate"/>
          </w:r>
          <w:r>
            <w:rPr>
              <w:noProof/>
            </w:rPr>
            <w:t xml:space="preserve"> (Microsoft Corporation, 2005)</w:t>
          </w:r>
          <w:r w:rsidR="00532E23">
            <w:rPr>
              <w:noProof/>
            </w:rPr>
            <w:fldChar w:fldCharType="end"/>
          </w:r>
        </w:sdtContent>
      </w:sdt>
      <w:r>
        <w:t xml:space="preserve">.  </w:t>
      </w:r>
    </w:p>
    <w:p w:rsidR="001806FE" w:rsidRDefault="00526342" w:rsidP="001806FE">
      <w:pPr>
        <w:pStyle w:val="Heading2"/>
      </w:pPr>
      <w:bookmarkStart w:id="39" w:name="_Toc172389699"/>
      <w:r>
        <w:t>Methods</w:t>
      </w:r>
      <w:bookmarkEnd w:id="38"/>
      <w:bookmarkEnd w:id="39"/>
    </w:p>
    <w:p w:rsidR="001806FE" w:rsidRDefault="00526342" w:rsidP="001806FE">
      <w:pPr>
        <w:pStyle w:val="BodyText"/>
      </w:pPr>
      <w:r>
        <w:t xml:space="preserve">Method names should </w:t>
      </w:r>
      <w:r w:rsidR="00B1291D">
        <w:t xml:space="preserve">typically </w:t>
      </w:r>
      <w:r>
        <w:t>consist of a verb (“add”, “delete”, “get”) as a means of differentiating them from properties (which should be nouns).  In addition, Ignia commonly uses the following conventions:</w:t>
      </w:r>
    </w:p>
    <w:tbl>
      <w:tblPr>
        <w:tblW w:w="0" w:type="auto"/>
        <w:tblInd w:w="1188" w:type="dxa"/>
        <w:tblLook w:val="01E0" w:firstRow="1" w:lastRow="1" w:firstColumn="1" w:lastColumn="1" w:noHBand="0" w:noVBand="0"/>
      </w:tblPr>
      <w:tblGrid>
        <w:gridCol w:w="800"/>
        <w:gridCol w:w="2260"/>
        <w:gridCol w:w="4608"/>
      </w:tblGrid>
      <w:tr w:rsidR="001806FE" w:rsidTr="006D0794">
        <w:tc>
          <w:tcPr>
            <w:tcW w:w="800" w:type="dxa"/>
          </w:tcPr>
          <w:p w:rsidR="001806FE" w:rsidRDefault="00526342" w:rsidP="006D0794">
            <w:pPr>
              <w:pStyle w:val="BodyTextIndent2"/>
              <w:ind w:left="0"/>
            </w:pPr>
            <w:r>
              <w:t>Get</w:t>
            </w:r>
          </w:p>
        </w:tc>
        <w:tc>
          <w:tcPr>
            <w:tcW w:w="2260" w:type="dxa"/>
          </w:tcPr>
          <w:p w:rsidR="001806FE" w:rsidRDefault="00526342" w:rsidP="006D0794">
            <w:pPr>
              <w:pStyle w:val="BodyTextIndent2"/>
              <w:ind w:left="0"/>
            </w:pPr>
            <w:r>
              <w:t>Retrieve a string</w:t>
            </w:r>
          </w:p>
        </w:tc>
        <w:tc>
          <w:tcPr>
            <w:tcW w:w="4608" w:type="dxa"/>
          </w:tcPr>
          <w:p w:rsidR="001806FE" w:rsidRDefault="00526342" w:rsidP="006D0794">
            <w:pPr>
              <w:pStyle w:val="BodyTextIndent2"/>
              <w:ind w:left="0"/>
            </w:pPr>
            <w:r>
              <w:t>e.g., GetHeaderTag()</w:t>
            </w:r>
          </w:p>
        </w:tc>
      </w:tr>
      <w:tr w:rsidR="001806FE" w:rsidTr="006D0794">
        <w:tc>
          <w:tcPr>
            <w:tcW w:w="800" w:type="dxa"/>
          </w:tcPr>
          <w:p w:rsidR="001806FE" w:rsidRDefault="00526342" w:rsidP="006D0794">
            <w:pPr>
              <w:pStyle w:val="BodyTextIndent2"/>
              <w:ind w:left="0"/>
            </w:pPr>
            <w:r>
              <w:t>Write</w:t>
            </w:r>
          </w:p>
        </w:tc>
        <w:tc>
          <w:tcPr>
            <w:tcW w:w="2260" w:type="dxa"/>
          </w:tcPr>
          <w:p w:rsidR="001806FE" w:rsidRDefault="00526342" w:rsidP="006D0794">
            <w:pPr>
              <w:pStyle w:val="BodyTextIndent2"/>
              <w:ind w:left="0"/>
            </w:pPr>
            <w:r>
              <w:t>Outputs a string</w:t>
            </w:r>
          </w:p>
        </w:tc>
        <w:tc>
          <w:tcPr>
            <w:tcW w:w="4608" w:type="dxa"/>
          </w:tcPr>
          <w:p w:rsidR="001806FE" w:rsidRDefault="00526342" w:rsidP="006D0794">
            <w:pPr>
              <w:pStyle w:val="BodyTextIndent2"/>
              <w:ind w:left="0"/>
            </w:pPr>
            <w:r>
              <w:t>e.g., WriteHeaderTag()</w:t>
            </w:r>
          </w:p>
        </w:tc>
      </w:tr>
    </w:tbl>
    <w:p w:rsidR="001806FE" w:rsidRDefault="00F10A88" w:rsidP="001806FE">
      <w:pPr>
        <w:pStyle w:val="BodyText"/>
      </w:pPr>
    </w:p>
    <w:p w:rsidR="001806FE" w:rsidRDefault="00526342" w:rsidP="001806FE">
      <w:pPr>
        <w:pStyle w:val="BodyText"/>
      </w:pPr>
      <w:r>
        <w:t xml:space="preserve">This can be valuable if you want multiple methods which output the same information in different formats (e.g., in a web application the Write will do a Response.Write() where as the Get will </w:t>
      </w:r>
      <w:r w:rsidR="00B1291D">
        <w:t>return a string</w:t>
      </w:r>
      <w:r>
        <w:t>).  Example:</w:t>
      </w:r>
    </w:p>
    <w:p w:rsidR="001806FE" w:rsidRDefault="00F10A88" w:rsidP="001806FE">
      <w:pPr>
        <w:pStyle w:val="BodyTextIndent2"/>
        <w:ind w:left="1440"/>
      </w:pPr>
    </w:p>
    <w:p w:rsidR="001806FE" w:rsidRDefault="00526342" w:rsidP="001806FE">
      <w:pPr>
        <w:pStyle w:val="CodeSample"/>
      </w:pPr>
      <w:r>
        <w:t>public String GetHeaderTag(String siteName) {</w:t>
      </w:r>
    </w:p>
    <w:p w:rsidR="001806FE" w:rsidRDefault="00526342" w:rsidP="001806FE">
      <w:pPr>
        <w:pStyle w:val="CodeSample"/>
      </w:pPr>
      <w:r>
        <w:t xml:space="preserve">  return (siteName);</w:t>
      </w:r>
    </w:p>
    <w:p w:rsidR="001806FE" w:rsidRDefault="00526342" w:rsidP="001806FE">
      <w:pPr>
        <w:pStyle w:val="CodeSample"/>
      </w:pPr>
      <w:r>
        <w:t xml:space="preserve">  }</w:t>
      </w:r>
    </w:p>
    <w:p w:rsidR="001806FE" w:rsidRDefault="00526342" w:rsidP="001806FE">
      <w:pPr>
        <w:pStyle w:val="CodeSample"/>
      </w:pPr>
      <w:r>
        <w:t>public void WriteHeaderTag(String siteName) {</w:t>
      </w:r>
    </w:p>
    <w:p w:rsidR="001806FE" w:rsidRDefault="00526342" w:rsidP="001806FE">
      <w:pPr>
        <w:pStyle w:val="CodeSample"/>
      </w:pPr>
      <w:r>
        <w:t xml:space="preserve">  Response.Write(GetHeaderTag(siteName));</w:t>
      </w:r>
    </w:p>
    <w:p w:rsidR="001806FE" w:rsidRDefault="00526342" w:rsidP="001806FE">
      <w:pPr>
        <w:pStyle w:val="CodeSample"/>
      </w:pPr>
      <w:r>
        <w:t xml:space="preserve">  }</w:t>
      </w:r>
    </w:p>
    <w:p w:rsidR="001806FE" w:rsidRDefault="00F10A88" w:rsidP="001806FE">
      <w:pPr>
        <w:pStyle w:val="BodyText"/>
      </w:pPr>
    </w:p>
    <w:p w:rsidR="001806FE" w:rsidRPr="00522C3E" w:rsidRDefault="00526342" w:rsidP="001806FE">
      <w:pPr>
        <w:pStyle w:val="BodyText"/>
      </w:pPr>
      <w:r w:rsidRPr="00522C3E">
        <w:rPr>
          <w:b/>
        </w:rPr>
        <w:t>Important:</w:t>
      </w:r>
      <w:r>
        <w:t xml:space="preserve"> Hungarian type notation should </w:t>
      </w:r>
      <w:r>
        <w:rPr>
          <w:i/>
        </w:rPr>
        <w:t>not</w:t>
      </w:r>
      <w:r>
        <w:t xml:space="preserve"> be used for parameter names.  Older Ignia code fails to comply with this standard and should be corrected when it is discovered.</w:t>
      </w:r>
    </w:p>
    <w:p w:rsidR="00EF5E8D" w:rsidRDefault="00EF5E8D" w:rsidP="00EF5E8D">
      <w:pPr>
        <w:pStyle w:val="Heading2"/>
      </w:pPr>
      <w:bookmarkStart w:id="40" w:name="_Toc172389700"/>
      <w:bookmarkStart w:id="41" w:name="_Toc95204573"/>
      <w:r>
        <w:t>Private Fields</w:t>
      </w:r>
      <w:bookmarkEnd w:id="40"/>
    </w:p>
    <w:p w:rsidR="00EF5E8D" w:rsidRPr="00A85261" w:rsidRDefault="00EF5E8D" w:rsidP="00EF5E8D">
      <w:pPr>
        <w:pStyle w:val="BodyText"/>
      </w:pPr>
      <w:r>
        <w:t xml:space="preserve">Private fields (sometimes referred to as global or member variables) should be prefixed with an underscore in order to differentiate them from local variables.  As variables, they should use pascalCase; as such, a member variable might be called, for example, “_email”.  </w:t>
      </w:r>
    </w:p>
    <w:p w:rsidR="00EF5E8D" w:rsidRDefault="00EF5E8D" w:rsidP="00EF5E8D">
      <w:pPr>
        <w:pStyle w:val="Heading2"/>
      </w:pPr>
      <w:bookmarkStart w:id="42" w:name="_Toc172389701"/>
      <w:r>
        <w:lastRenderedPageBreak/>
        <w:t>Hungarian Notation</w:t>
      </w:r>
      <w:bookmarkEnd w:id="42"/>
    </w:p>
    <w:p w:rsidR="00EF5E8D" w:rsidRDefault="00EF5E8D" w:rsidP="00EF5E8D">
      <w:pPr>
        <w:pStyle w:val="BodyText"/>
      </w:pPr>
      <w:r>
        <w:t>As of .NET 1.0, Microsoft discourages use of Hungarian notation – and, in general, that should be followed in Ignia’s code.  There are cases, however, where Hungarian notation (as originally intended</w:t>
      </w:r>
      <w:r>
        <w:rPr>
          <w:rStyle w:val="FootnoteReference"/>
        </w:rPr>
        <w:footnoteReference w:id="2"/>
      </w:r>
      <w:r>
        <w:t>) can be useful; most notably, it is helpful in avoiding collisions between identifiers that might otherwise use the same naming conventions.  For example, a record set might be converted between several object types in a single scope (e.g., a DataSet, DataTable, DataAdapter, DataReader, etc); using Hungarian notation can help distinguish these (e.g., “dsUsers”, “dtUsers”, “daUsers”, “drUsers”).  Similarly, using a prefix for declarative objects (such as form fields) can help avoid naming conflicts with properties; this is discussed more in “Form Fields” below.</w:t>
      </w:r>
    </w:p>
    <w:p w:rsidR="00A9064E" w:rsidRDefault="00A9064E" w:rsidP="00A9064E">
      <w:pPr>
        <w:pStyle w:val="Heading2"/>
      </w:pPr>
      <w:bookmarkStart w:id="43" w:name="_Toc172389702"/>
      <w:r>
        <w:t>Form Fields</w:t>
      </w:r>
      <w:bookmarkEnd w:id="41"/>
      <w:bookmarkEnd w:id="43"/>
    </w:p>
    <w:p w:rsidR="00A9064E" w:rsidRDefault="00B1291D" w:rsidP="00A9064E">
      <w:pPr>
        <w:pStyle w:val="BodyText"/>
      </w:pPr>
      <w:r>
        <w:t xml:space="preserve">Declarative objects such as form fields may </w:t>
      </w:r>
      <w:r w:rsidR="00EF5E8D">
        <w:t xml:space="preserve">use </w:t>
      </w:r>
      <w:r>
        <w:t xml:space="preserve">Hungarian Notation </w:t>
      </w:r>
      <w:r w:rsidR="00A9064E">
        <w:t>type identifiers such as frm, fld, or btn.  There are three benefits of this.  First, it distinguishes fields from properties which may map to the same data</w:t>
      </w:r>
      <w:r w:rsidR="00EF5E8D">
        <w:t xml:space="preserve"> (e.g., Email)</w:t>
      </w:r>
      <w:r w:rsidR="00A9064E">
        <w:t xml:space="preserve">.  Second, it distinguishes fields from </w:t>
      </w:r>
      <w:r>
        <w:t xml:space="preserve">local variables </w:t>
      </w:r>
      <w:r w:rsidR="00A9064E">
        <w:t xml:space="preserve">(e.g., </w:t>
      </w:r>
      <w:r>
        <w:t>email</w:t>
      </w:r>
      <w:r w:rsidR="00A9064E">
        <w:t>).  Third, it maintains consistency with client side naming conventions (which tend to use camelCase).</w:t>
      </w:r>
    </w:p>
    <w:p w:rsidR="001806FE" w:rsidRDefault="00526342" w:rsidP="001806FE">
      <w:pPr>
        <w:pStyle w:val="Heading1"/>
      </w:pPr>
      <w:bookmarkStart w:id="44" w:name="_Toc95204582"/>
      <w:bookmarkStart w:id="45" w:name="_Toc172389703"/>
      <w:r>
        <w:t>Indentation and Formatting</w:t>
      </w:r>
      <w:bookmarkEnd w:id="44"/>
      <w:bookmarkEnd w:id="45"/>
    </w:p>
    <w:p w:rsidR="001806FE" w:rsidRDefault="00526342" w:rsidP="001806FE">
      <w:r>
        <w:t>Ignia’s indentation structure differs slightly from standard C formatting conventions</w:t>
      </w:r>
      <w:r w:rsidR="006D0794">
        <w:rPr>
          <w:noProof/>
        </w:rPr>
        <w:t xml:space="preserve">.  </w:t>
      </w:r>
      <w:r>
        <w:t xml:space="preserve">This is a deliberate choice for readability although it is </w:t>
      </w:r>
      <w:r w:rsidR="00532E23">
        <w:t>noted as inconvenient due to it</w:t>
      </w:r>
      <w:r>
        <w:t xml:space="preserve">s inconsistency with sample code or code formatting tools (such as Visual Studios auto indentation).  </w:t>
      </w:r>
    </w:p>
    <w:p w:rsidR="001806FE" w:rsidRDefault="00526342" w:rsidP="001806FE">
      <w:pPr>
        <w:pStyle w:val="Heading2"/>
      </w:pPr>
      <w:bookmarkStart w:id="46" w:name="_Toc95204583"/>
      <w:bookmarkStart w:id="47" w:name="_Toc172389704"/>
      <w:r>
        <w:t>Indentation</w:t>
      </w:r>
      <w:bookmarkEnd w:id="46"/>
      <w:bookmarkEnd w:id="47"/>
    </w:p>
    <w:p w:rsidR="001806FE" w:rsidRDefault="00526342" w:rsidP="001806FE">
      <w:pPr>
        <w:pStyle w:val="BodyText"/>
      </w:pPr>
      <w:r>
        <w:t xml:space="preserve">Indentation should follow the page logic and natural nesting of code.  Always use two </w:t>
      </w:r>
      <w:r w:rsidRPr="00520ED3">
        <w:rPr>
          <w:i/>
        </w:rPr>
        <w:t>spaces</w:t>
      </w:r>
      <w:r>
        <w:t xml:space="preserve"> for indentation; if you are in the habit of using tabs, please set your editor to convert tabs to two spaces (this is supported by most popular editors, such as TextPad).  The benefits of using two spaces include:</w:t>
      </w:r>
    </w:p>
    <w:p w:rsidR="001806FE" w:rsidRDefault="00526342" w:rsidP="001806FE">
      <w:pPr>
        <w:pStyle w:val="BodyText"/>
        <w:numPr>
          <w:ilvl w:val="0"/>
          <w:numId w:val="16"/>
        </w:numPr>
      </w:pPr>
      <w:r w:rsidRPr="00F634C2">
        <w:rPr>
          <w:b/>
        </w:rPr>
        <w:t>Width:</w:t>
      </w:r>
      <w:r>
        <w:t xml:space="preserve"> It is short enough that it keeps most code within a viewable window.  </w:t>
      </w:r>
    </w:p>
    <w:p w:rsidR="001806FE" w:rsidRPr="00520ED3" w:rsidRDefault="00526342" w:rsidP="001806FE">
      <w:pPr>
        <w:pStyle w:val="BodyText"/>
        <w:numPr>
          <w:ilvl w:val="0"/>
          <w:numId w:val="16"/>
        </w:numPr>
      </w:pPr>
      <w:r w:rsidRPr="00F634C2">
        <w:rPr>
          <w:b/>
        </w:rPr>
        <w:t>Consistency:</w:t>
      </w:r>
      <w:r>
        <w:t xml:space="preserve"> While tabs are interpreted differently </w:t>
      </w:r>
      <w:r w:rsidR="00D22DA7">
        <w:t xml:space="preserve">by various </w:t>
      </w:r>
      <w:r>
        <w:t>client</w:t>
      </w:r>
      <w:r w:rsidR="00D22DA7">
        <w:t>s</w:t>
      </w:r>
      <w:r>
        <w:t>, spaces are rendered consistently according to fixed-width font settings.</w:t>
      </w:r>
    </w:p>
    <w:p w:rsidR="004D4251" w:rsidRDefault="004D4251" w:rsidP="004D4251">
      <w:pPr>
        <w:pStyle w:val="Heading2"/>
      </w:pPr>
      <w:bookmarkStart w:id="48" w:name="_Toc172389705"/>
      <w:r>
        <w:t>Spacing</w:t>
      </w:r>
      <w:bookmarkEnd w:id="48"/>
    </w:p>
    <w:p w:rsidR="004D4251" w:rsidRDefault="004D4251" w:rsidP="004D4251">
      <w:pPr>
        <w:pStyle w:val="BodyText"/>
      </w:pPr>
      <w:r>
        <w:t>Ignia uses Microsoft’s Internal Coding Guidelines</w:t>
      </w:r>
      <w:r>
        <w:rPr>
          <w:noProof/>
        </w:rPr>
        <w:t xml:space="preserve"> </w:t>
      </w:r>
      <w:sdt>
        <w:sdtPr>
          <w:rPr>
            <w:noProof/>
          </w:rPr>
          <w:id w:val="484060495"/>
          <w:citation/>
        </w:sdtPr>
        <w:sdtEndPr/>
        <w:sdtContent>
          <w:r w:rsidR="00AF18D3">
            <w:rPr>
              <w:noProof/>
            </w:rPr>
            <w:fldChar w:fldCharType="begin"/>
          </w:r>
          <w:r w:rsidR="00AF18D3">
            <w:rPr>
              <w:noProof/>
            </w:rPr>
            <w:instrText xml:space="preserve"> CITATION Mic05 \l 1033  </w:instrText>
          </w:r>
          <w:r w:rsidR="00AF18D3">
            <w:rPr>
              <w:noProof/>
            </w:rPr>
            <w:fldChar w:fldCharType="separate"/>
          </w:r>
          <w:r w:rsidR="00AF18D3">
            <w:rPr>
              <w:noProof/>
            </w:rPr>
            <w:t>(Microsoft Corporation, 2005)</w:t>
          </w:r>
          <w:r w:rsidR="00AF18D3">
            <w:rPr>
              <w:noProof/>
            </w:rPr>
            <w:fldChar w:fldCharType="end"/>
          </w:r>
        </w:sdtContent>
      </w:sdt>
      <w:r w:rsidR="00AF18D3">
        <w:rPr>
          <w:noProof/>
        </w:rPr>
        <w:t xml:space="preserve"> </w:t>
      </w:r>
      <w:r>
        <w:t xml:space="preserve">for spacing; the following is excerpted directly from Brad Abram’s </w:t>
      </w:r>
      <w:r w:rsidR="00D32D54">
        <w:t>documentation:</w:t>
      </w:r>
    </w:p>
    <w:p w:rsidR="00D32D54" w:rsidRPr="00D32D54"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t>Do</w:t>
      </w:r>
      <w:r w:rsidRPr="00D32D54">
        <w:t xml:space="preserve"> use a single space after a comma betw</w:t>
      </w:r>
      <w:r>
        <w:t>een function arguments.</w:t>
      </w:r>
      <w:r>
        <w:br/>
        <w:t>Right:</w:t>
      </w:r>
      <w:r>
        <w:tab/>
      </w:r>
      <w:r w:rsidRPr="00D32D54">
        <w:t>Console.In.Read(myChar, 0, 1);</w:t>
      </w:r>
      <w:r w:rsidRPr="00D32D54">
        <w:br/>
        <w:t xml:space="preserve">Wrong: </w:t>
      </w:r>
      <w:r w:rsidRPr="00D32D54">
        <w:tab/>
        <w:t xml:space="preserve">Console.In.Read(myChar,0,1);  </w:t>
      </w:r>
    </w:p>
    <w:p w:rsidR="00D32D54" w:rsidRPr="00D32D54"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t>Do not</w:t>
      </w:r>
      <w:r w:rsidRPr="00D32D54">
        <w:t xml:space="preserve"> use a space after the parenthesis </w:t>
      </w:r>
      <w:r>
        <w:t>and function arguments</w:t>
      </w:r>
      <w:r>
        <w:br/>
        <w:t xml:space="preserve">Right: </w:t>
      </w:r>
      <w:r>
        <w:tab/>
      </w:r>
      <w:r w:rsidRPr="00D32D54">
        <w:t>CreateFoo(myChar, 0, 1)</w:t>
      </w:r>
      <w:r w:rsidRPr="00D32D54">
        <w:rPr>
          <w:rFonts w:cs="Courier New"/>
        </w:rPr>
        <w:br/>
      </w:r>
      <w:r w:rsidRPr="00D32D54">
        <w:t xml:space="preserve">Wrong: </w:t>
      </w:r>
      <w:r w:rsidRPr="00D32D54">
        <w:tab/>
        <w:t xml:space="preserve">CreateFoo( myChar, 0, 1 ) </w:t>
      </w:r>
    </w:p>
    <w:p w:rsidR="00D32D54" w:rsidRPr="00D32D54"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t>Do not</w:t>
      </w:r>
      <w:r w:rsidRPr="00D32D54">
        <w:t xml:space="preserve"> use spaces between a function</w:t>
      </w:r>
      <w:r>
        <w:t xml:space="preserve"> name and parenthesis.</w:t>
      </w:r>
      <w:r>
        <w:br/>
        <w:t xml:space="preserve">Right: </w:t>
      </w:r>
      <w:r>
        <w:tab/>
      </w:r>
      <w:r w:rsidRPr="00D32D54">
        <w:t>CreateFoo()</w:t>
      </w:r>
      <w:r w:rsidRPr="00D32D54">
        <w:rPr>
          <w:rFonts w:cs="Courier New"/>
        </w:rPr>
        <w:br/>
      </w:r>
      <w:r w:rsidRPr="00D32D54">
        <w:t xml:space="preserve">Wrong: </w:t>
      </w:r>
      <w:r w:rsidRPr="00D32D54">
        <w:tab/>
        <w:t xml:space="preserve">CreateFoo () </w:t>
      </w:r>
    </w:p>
    <w:p w:rsidR="00D32D54" w:rsidRPr="00D32D54"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t>Do not</w:t>
      </w:r>
      <w:r w:rsidRPr="00D32D54">
        <w:t xml:space="preserve"> use spaces inside brackets.</w:t>
      </w:r>
      <w:r w:rsidRPr="00D32D54">
        <w:br/>
        <w:t>Right</w:t>
      </w:r>
      <w:r w:rsidRPr="00D32D54">
        <w:rPr>
          <w:rFonts w:cs="Courier New"/>
        </w:rPr>
        <w:t xml:space="preserve">: </w:t>
      </w:r>
      <w:r w:rsidRPr="00D32D54">
        <w:rPr>
          <w:rFonts w:cs="Courier New"/>
        </w:rPr>
        <w:tab/>
      </w:r>
      <w:r w:rsidRPr="00D32D54">
        <w:t>x = dataArray[index];</w:t>
      </w:r>
      <w:r w:rsidRPr="00D32D54">
        <w:br/>
        <w:t xml:space="preserve">Wrong: </w:t>
      </w:r>
      <w:r w:rsidRPr="00D32D54">
        <w:tab/>
        <w:t xml:space="preserve">x = dataArray[ index ]; </w:t>
      </w:r>
    </w:p>
    <w:p w:rsidR="00B1291D"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lastRenderedPageBreak/>
        <w:t>Do</w:t>
      </w:r>
      <w:r w:rsidRPr="00D32D54">
        <w:t xml:space="preserve"> use a single space before </w:t>
      </w:r>
      <w:r>
        <w:t>flow control statements</w:t>
      </w:r>
      <w:r>
        <w:br/>
        <w:t>Right:</w:t>
      </w:r>
      <w:r>
        <w:tab/>
      </w:r>
      <w:r w:rsidRPr="00D32D54">
        <w:t>while (x == y)</w:t>
      </w:r>
      <w:r w:rsidRPr="00D32D54">
        <w:br/>
        <w:t xml:space="preserve">Wrong: </w:t>
      </w:r>
      <w:r w:rsidRPr="00D32D54">
        <w:tab/>
        <w:t xml:space="preserve">while(x==y) </w:t>
      </w:r>
    </w:p>
    <w:p w:rsidR="00D32D54" w:rsidRPr="00B1291D" w:rsidRDefault="00D32D54" w:rsidP="001D1F30">
      <w:pPr>
        <w:numPr>
          <w:ilvl w:val="0"/>
          <w:numId w:val="17"/>
        </w:numPr>
        <w:tabs>
          <w:tab w:val="clear" w:pos="1080"/>
          <w:tab w:val="num" w:pos="990"/>
          <w:tab w:val="left" w:pos="2070"/>
        </w:tabs>
        <w:spacing w:before="100" w:beforeAutospacing="1" w:after="100" w:afterAutospacing="1" w:line="240" w:lineRule="auto"/>
        <w:ind w:left="1260" w:hanging="540"/>
        <w:jc w:val="left"/>
      </w:pPr>
      <w:r w:rsidRPr="00D32D54">
        <w:rPr>
          <w:u w:val="single"/>
        </w:rPr>
        <w:t>Do</w:t>
      </w:r>
      <w:r w:rsidRPr="00D32D54">
        <w:t xml:space="preserve"> use a single space before and aft</w:t>
      </w:r>
      <w:r w:rsidRPr="00B1291D">
        <w:t>er comparison operators</w:t>
      </w:r>
      <w:r w:rsidRPr="00B1291D">
        <w:br/>
        <w:t>Right:</w:t>
      </w:r>
      <w:r w:rsidRPr="00B1291D">
        <w:tab/>
        <w:t>if (x == y)</w:t>
      </w:r>
      <w:r w:rsidRPr="00D32D54">
        <w:br/>
        <w:t xml:space="preserve">Wrong: </w:t>
      </w:r>
      <w:r w:rsidRPr="00D32D54">
        <w:tab/>
      </w:r>
      <w:r w:rsidRPr="00B1291D">
        <w:t>if (x==y)</w:t>
      </w:r>
    </w:p>
    <w:p w:rsidR="001806FE" w:rsidRDefault="00D22DA7" w:rsidP="001806FE">
      <w:pPr>
        <w:pStyle w:val="Heading2"/>
      </w:pPr>
      <w:bookmarkStart w:id="49" w:name="_Toc172389706"/>
      <w:r>
        <w:t>Bracing</w:t>
      </w:r>
      <w:bookmarkEnd w:id="49"/>
    </w:p>
    <w:p w:rsidR="001806FE" w:rsidRPr="00F634C2" w:rsidRDefault="00526342" w:rsidP="00AE64FA">
      <w:pPr>
        <w:pStyle w:val="BodyText"/>
      </w:pPr>
      <w:r>
        <w:t xml:space="preserve">Opening braces “{“ should always appear on the </w:t>
      </w:r>
      <w:r>
        <w:rPr>
          <w:i/>
        </w:rPr>
        <w:t>same</w:t>
      </w:r>
      <w:r>
        <w:t xml:space="preserve"> line as the </w:t>
      </w:r>
      <w:r w:rsidR="00AE64FA">
        <w:t>statement that begins the block; c</w:t>
      </w:r>
      <w:r>
        <w:t xml:space="preserve">losing braces should then appear on a new line, </w:t>
      </w:r>
      <w:r>
        <w:rPr>
          <w:i/>
        </w:rPr>
        <w:t>indented to align with the content</w:t>
      </w:r>
      <w:r>
        <w:t xml:space="preserve">.  </w:t>
      </w:r>
      <w:r w:rsidR="00AE64FA">
        <w:t xml:space="preserve">Braces should never be considered optional; this increases code readability and maintainability.  The </w:t>
      </w:r>
      <w:r w:rsidR="00AE64FA" w:rsidRPr="00F12C80">
        <w:rPr>
          <w:i/>
        </w:rPr>
        <w:t>only</w:t>
      </w:r>
      <w:r w:rsidR="00AE64FA">
        <w:t xml:space="preserve"> exception to this is single statement blocks, in which case the statement should occur on the same line; if a single statement block is placed on a separate line then braces should be used.</w:t>
      </w:r>
      <w:r>
        <w:t xml:space="preserve"> </w:t>
      </w:r>
    </w:p>
    <w:p w:rsidR="001806FE" w:rsidRDefault="00526342" w:rsidP="001806FE">
      <w:pPr>
        <w:pStyle w:val="Heading2"/>
      </w:pPr>
      <w:bookmarkStart w:id="50" w:name="_Toc95204585"/>
      <w:bookmarkStart w:id="51" w:name="_Toc172389707"/>
      <w:r>
        <w:t>Example</w:t>
      </w:r>
      <w:bookmarkEnd w:id="50"/>
      <w:bookmarkEnd w:id="51"/>
    </w:p>
    <w:p w:rsidR="001806FE" w:rsidRDefault="00526342" w:rsidP="001806FE">
      <w:pPr>
        <w:pStyle w:val="CodeSample"/>
        <w:ind w:left="720"/>
      </w:pPr>
      <w:r>
        <w:t>public bool MethodName (String paramName) {</w:t>
      </w:r>
    </w:p>
    <w:p w:rsidR="00AE64FA" w:rsidRDefault="00AE64FA" w:rsidP="001806FE">
      <w:pPr>
        <w:pStyle w:val="CodeSample"/>
        <w:ind w:left="720"/>
      </w:pPr>
      <w:r>
        <w:t xml:space="preserve">  if (String.IsNullOrEmpty(paramName) return false;</w:t>
      </w:r>
    </w:p>
    <w:p w:rsidR="001806FE" w:rsidRDefault="00526342" w:rsidP="001806FE">
      <w:pPr>
        <w:pStyle w:val="CodeSample"/>
        <w:ind w:left="720"/>
      </w:pPr>
      <w:r>
        <w:t xml:space="preserve">  if (bolCondition == true) {</w:t>
      </w:r>
    </w:p>
    <w:p w:rsidR="001806FE" w:rsidRDefault="00526342" w:rsidP="001806FE">
      <w:pPr>
        <w:pStyle w:val="CodeSample"/>
        <w:ind w:left="720"/>
      </w:pPr>
      <w:r>
        <w:t xml:space="preserve">    intCounter++;</w:t>
      </w:r>
    </w:p>
    <w:p w:rsidR="001806FE" w:rsidRDefault="00526342" w:rsidP="001806FE">
      <w:pPr>
        <w:pStyle w:val="CodeSample"/>
        <w:ind w:left="720"/>
      </w:pPr>
      <w:r>
        <w:t xml:space="preserve">    return true;</w:t>
      </w:r>
    </w:p>
    <w:p w:rsidR="001806FE" w:rsidRDefault="00526342" w:rsidP="001806FE">
      <w:pPr>
        <w:pStyle w:val="CodeSample"/>
        <w:ind w:left="720"/>
      </w:pPr>
      <w:r>
        <w:t xml:space="preserve">    }</w:t>
      </w:r>
    </w:p>
    <w:p w:rsidR="001806FE" w:rsidRDefault="00526342" w:rsidP="001806FE">
      <w:pPr>
        <w:pStyle w:val="CodeSample"/>
        <w:ind w:left="720"/>
      </w:pPr>
      <w:r>
        <w:t xml:space="preserve">  else {</w:t>
      </w:r>
    </w:p>
    <w:p w:rsidR="001806FE" w:rsidRDefault="00526342" w:rsidP="001806FE">
      <w:pPr>
        <w:pStyle w:val="CodeSample"/>
        <w:ind w:left="720"/>
      </w:pPr>
      <w:r>
        <w:t xml:space="preserve">    return false;</w:t>
      </w:r>
    </w:p>
    <w:p w:rsidR="001806FE" w:rsidRDefault="00526342" w:rsidP="001806FE">
      <w:pPr>
        <w:pStyle w:val="CodeSample"/>
        <w:ind w:left="720"/>
      </w:pPr>
      <w:r>
        <w:t xml:space="preserve">    }</w:t>
      </w:r>
    </w:p>
    <w:p w:rsidR="001806FE" w:rsidRDefault="00526342" w:rsidP="001806FE">
      <w:pPr>
        <w:pStyle w:val="CodeSample"/>
        <w:ind w:left="720"/>
      </w:pPr>
      <w:r>
        <w:t xml:space="preserve">  }</w:t>
      </w:r>
    </w:p>
    <w:p w:rsidR="001806FE" w:rsidRDefault="00526342" w:rsidP="001806FE">
      <w:pPr>
        <w:pStyle w:val="Heading1"/>
      </w:pPr>
      <w:bookmarkStart w:id="52" w:name="_Toc95204586"/>
      <w:bookmarkStart w:id="53" w:name="_Toc172389708"/>
      <w:r>
        <w:t>Comments</w:t>
      </w:r>
      <w:bookmarkEnd w:id="52"/>
      <w:bookmarkEnd w:id="53"/>
    </w:p>
    <w:p w:rsidR="001806FE" w:rsidRDefault="00F12C80" w:rsidP="001806FE">
      <w:r>
        <w:t>Comments should be used to describe intention, algorithmic overview, and/or logical flow</w:t>
      </w:r>
      <w:r w:rsidR="006D0794">
        <w:rPr>
          <w:noProof/>
        </w:rPr>
        <w:t xml:space="preserve"> (Microsoft Corporation, 2005)</w:t>
      </w:r>
      <w:r>
        <w:t>.</w:t>
      </w:r>
      <w:r w:rsidR="006D0794">
        <w:t xml:space="preserve">  Another individual should be able to understand the structure, behavior and general logic of code based on the comments alone</w:t>
      </w:r>
      <w:r w:rsidR="00526342">
        <w:t>.  Ignia uses a somewhat elaborate set of ASCII characters for identifying major comments</w:t>
      </w:r>
      <w:r w:rsidR="006D0794">
        <w:t xml:space="preserve"> (“flower boxing”)</w:t>
      </w:r>
      <w:r w:rsidR="00526342">
        <w:t>; generally these are included in development templates, although it may be of value to add them to your editors clip library or associate them with hotkeys.</w:t>
      </w:r>
    </w:p>
    <w:p w:rsidR="001806FE" w:rsidRDefault="00526342" w:rsidP="001806FE">
      <w:pPr>
        <w:pStyle w:val="Heading2"/>
      </w:pPr>
      <w:bookmarkStart w:id="54" w:name="_Toc95204587"/>
      <w:bookmarkStart w:id="55" w:name="_Toc172389709"/>
      <w:r>
        <w:t>Header Block</w:t>
      </w:r>
      <w:bookmarkEnd w:id="54"/>
      <w:bookmarkEnd w:id="55"/>
    </w:p>
    <w:p w:rsidR="001806FE" w:rsidRDefault="00526342" w:rsidP="001806FE">
      <w:pPr>
        <w:pStyle w:val="BodyText"/>
      </w:pPr>
      <w:r>
        <w:t>Every document containing code should begin with a consistent header block which includes the code title, author, project, purpose, and revision history.  Generally, you should be using a standard template when establishing new code; in this case, the header block will be present and can simply be modified.  Keeping this up-to-date is critical as it will help testers and future developers to track back bugs, especially for situations where dependencies are broken.</w:t>
      </w:r>
    </w:p>
    <w:p w:rsidR="001806FE" w:rsidRDefault="00F10A88" w:rsidP="001806FE">
      <w:pPr>
        <w:pStyle w:val="BodyText"/>
      </w:pPr>
    </w:p>
    <w:p w:rsidR="001806FE" w:rsidRDefault="00526342" w:rsidP="001806FE">
      <w:pPr>
        <w:pStyle w:val="CodeSample"/>
        <w:ind w:left="990"/>
      </w:pPr>
      <w:r>
        <w:t>/*=============================================================================</w:t>
      </w:r>
    </w:p>
    <w:p w:rsidR="001806FE" w:rsidRDefault="00526342" w:rsidP="001806FE">
      <w:pPr>
        <w:pStyle w:val="CodeSample"/>
        <w:ind w:left="990"/>
      </w:pPr>
      <w:r>
        <w:t>| [TITLE]</w:t>
      </w:r>
    </w:p>
    <w:p w:rsidR="001806FE" w:rsidRDefault="00526342" w:rsidP="001806FE">
      <w:pPr>
        <w:pStyle w:val="CodeSample"/>
        <w:ind w:left="990"/>
      </w:pPr>
      <w:r>
        <w:t>|</w:t>
      </w:r>
    </w:p>
    <w:p w:rsidR="001806FE" w:rsidRDefault="00526342" w:rsidP="001806FE">
      <w:pPr>
        <w:pStyle w:val="CodeSample"/>
        <w:ind w:left="990"/>
      </w:pPr>
      <w:r>
        <w:t>| Author     [FName] [LName], Ignia LLC ([FName.LName]@ignia.com)</w:t>
      </w:r>
    </w:p>
    <w:p w:rsidR="001806FE" w:rsidRDefault="00526342" w:rsidP="001806FE">
      <w:pPr>
        <w:pStyle w:val="CodeSample"/>
        <w:ind w:left="990"/>
      </w:pPr>
      <w:r>
        <w:t>| Client     [Client Name]</w:t>
      </w:r>
    </w:p>
    <w:p w:rsidR="001806FE" w:rsidRDefault="00526342" w:rsidP="001806FE">
      <w:pPr>
        <w:pStyle w:val="CodeSample"/>
        <w:ind w:left="990"/>
      </w:pPr>
      <w:r>
        <w:t>| Project    [Project Name]</w:t>
      </w:r>
    </w:p>
    <w:p w:rsidR="001806FE" w:rsidRDefault="00526342" w:rsidP="001806FE">
      <w:pPr>
        <w:pStyle w:val="CodeSample"/>
        <w:ind w:left="990"/>
      </w:pPr>
      <w:r>
        <w:t>|</w:t>
      </w:r>
    </w:p>
    <w:p w:rsidR="001806FE" w:rsidRDefault="00526342" w:rsidP="001806FE">
      <w:pPr>
        <w:pStyle w:val="CodeSample"/>
        <w:ind w:left="990"/>
      </w:pPr>
      <w:r>
        <w:t>| Purpose    [Purpose]</w:t>
      </w:r>
    </w:p>
    <w:p w:rsidR="001806FE" w:rsidRDefault="00526342" w:rsidP="001806FE">
      <w:pPr>
        <w:pStyle w:val="CodeSample"/>
        <w:ind w:left="990"/>
      </w:pPr>
      <w:r>
        <w:lastRenderedPageBreak/>
        <w:t>|</w:t>
      </w:r>
    </w:p>
    <w:p w:rsidR="001806FE" w:rsidRDefault="00526342" w:rsidP="001806FE">
      <w:pPr>
        <w:pStyle w:val="CodeSample"/>
        <w:ind w:left="990"/>
      </w:pPr>
      <w:r>
        <w:t>&gt;==============================================================================</w:t>
      </w:r>
    </w:p>
    <w:p w:rsidR="001806FE" w:rsidRDefault="00526342" w:rsidP="001806FE">
      <w:pPr>
        <w:pStyle w:val="CodeSample"/>
        <w:ind w:left="990"/>
      </w:pPr>
      <w:r>
        <w:t>| Revisions  Date        Author          Comments</w:t>
      </w:r>
    </w:p>
    <w:p w:rsidR="001806FE" w:rsidRDefault="00526342" w:rsidP="001806FE">
      <w:pPr>
        <w:pStyle w:val="CodeSample"/>
        <w:ind w:left="990"/>
      </w:pPr>
      <w:r>
        <w:t>| - - - - - - - - - - - - - - - - - - - - - - - - - - - - - - - - - - - - - - -</w:t>
      </w:r>
    </w:p>
    <w:p w:rsidR="001806FE" w:rsidRDefault="00526342" w:rsidP="001806FE">
      <w:pPr>
        <w:pStyle w:val="CodeSample"/>
        <w:ind w:left="990"/>
      </w:pPr>
      <w:r>
        <w:t>|            MM.DD.YY    [FName] [LName] [Description of update]</w:t>
      </w:r>
    </w:p>
    <w:p w:rsidR="001806FE" w:rsidRDefault="00526342" w:rsidP="001806FE">
      <w:pPr>
        <w:pStyle w:val="CodeSample"/>
        <w:ind w:left="990"/>
      </w:pPr>
      <w:r>
        <w:t>\----------------------------------------------------------------------------*/</w:t>
      </w:r>
    </w:p>
    <w:p w:rsidR="001806FE" w:rsidRDefault="006D0794" w:rsidP="001806FE">
      <w:pPr>
        <w:pStyle w:val="Heading2"/>
      </w:pPr>
      <w:bookmarkStart w:id="56" w:name="_Toc95204588"/>
      <w:bookmarkStart w:id="57" w:name="_Toc172389710"/>
      <w:r>
        <w:t>Member</w:t>
      </w:r>
      <w:r w:rsidR="00526342">
        <w:t xml:space="preserve"> Block</w:t>
      </w:r>
      <w:bookmarkEnd w:id="56"/>
      <w:bookmarkEnd w:id="57"/>
    </w:p>
    <w:p w:rsidR="001806FE" w:rsidRDefault="006D0794" w:rsidP="001806FE">
      <w:pPr>
        <w:pStyle w:val="BodyText"/>
      </w:pPr>
      <w:r>
        <w:t>Members</w:t>
      </w:r>
      <w:r w:rsidR="00526342">
        <w:t xml:space="preserve"> (including methods and properties) should have a title and description.  Often the friendly name is the same as the function name but with spaces and any abbreviations spelled out.  While this is redundant it makes it easy for other developers (and you) to quickly scan the page for function calls.</w:t>
      </w:r>
    </w:p>
    <w:p w:rsidR="001806FE" w:rsidRDefault="00526342" w:rsidP="001806FE">
      <w:pPr>
        <w:pStyle w:val="CodeSample"/>
        <w:ind w:left="990"/>
      </w:pPr>
      <w:r>
        <w:t>/*=============================================================================</w:t>
      </w:r>
    </w:p>
    <w:p w:rsidR="001806FE" w:rsidRDefault="00526342" w:rsidP="001806FE">
      <w:pPr>
        <w:pStyle w:val="CodeSample"/>
        <w:ind w:left="990"/>
      </w:pPr>
      <w:r>
        <w:t>| [METHOD|PROPERTY]: [FUNCTION FRIENDLY NAME]</w:t>
      </w:r>
    </w:p>
    <w:p w:rsidR="001806FE" w:rsidRDefault="00526342" w:rsidP="001806FE">
      <w:pPr>
        <w:pStyle w:val="CodeSample"/>
        <w:ind w:left="990"/>
      </w:pPr>
      <w:r>
        <w:t>&gt;==============================================================================</w:t>
      </w:r>
    </w:p>
    <w:p w:rsidR="001806FE" w:rsidRDefault="00526342" w:rsidP="001806FE">
      <w:pPr>
        <w:pStyle w:val="CodeSample"/>
        <w:ind w:left="990"/>
      </w:pPr>
      <w:r>
        <w:t>| [Description].</w:t>
      </w:r>
    </w:p>
    <w:p w:rsidR="001806FE" w:rsidRDefault="00526342" w:rsidP="001806FE">
      <w:pPr>
        <w:pStyle w:val="CodeSample"/>
        <w:ind w:left="990"/>
      </w:pPr>
      <w:r>
        <w:t>\----------------------------------------------------------------------------*/</w:t>
      </w:r>
    </w:p>
    <w:p w:rsidR="001806FE" w:rsidRPr="00A076BD" w:rsidRDefault="00F10A88" w:rsidP="001806FE">
      <w:pPr>
        <w:pStyle w:val="BodyText"/>
      </w:pPr>
    </w:p>
    <w:p w:rsidR="001806FE" w:rsidRPr="00A076BD" w:rsidRDefault="00526342" w:rsidP="001806FE">
      <w:pPr>
        <w:pStyle w:val="BodyText"/>
      </w:pPr>
      <w:r w:rsidRPr="00A076BD">
        <w:t>Some developers choose to provide additional details with each function, following the basic template of the header block.  These optionally include: purpose, edit history, parameter details, etc.  If these are valuable to you or help clarify usage then please use them.  This level of documentation, however, is not required and is often tedious and unnecessary to maintain for most code.</w:t>
      </w:r>
    </w:p>
    <w:p w:rsidR="001806FE" w:rsidRDefault="00526342" w:rsidP="001806FE">
      <w:pPr>
        <w:pStyle w:val="Heading2"/>
      </w:pPr>
      <w:bookmarkStart w:id="58" w:name="_Toc95204589"/>
      <w:bookmarkStart w:id="59" w:name="_Toc172389711"/>
      <w:r>
        <w:t>Section Titles</w:t>
      </w:r>
      <w:bookmarkEnd w:id="58"/>
      <w:bookmarkEnd w:id="59"/>
    </w:p>
    <w:p w:rsidR="001806FE" w:rsidRDefault="006D0794" w:rsidP="001806FE">
      <w:pPr>
        <w:pStyle w:val="BodyText"/>
      </w:pPr>
      <w:r>
        <w:t>I</w:t>
      </w:r>
      <w:r w:rsidR="00526342">
        <w:t>f multiple major functional areas are represented</w:t>
      </w:r>
      <w:r>
        <w:t xml:space="preserve"> inside a procedure</w:t>
      </w:r>
      <w:r w:rsidR="00526342">
        <w:t xml:space="preserve"> then it’s useful to block them off using a comment header.  This allows multiple lines of code that may be at the same level to be visually grouped</w:t>
      </w:r>
      <w:r>
        <w:t xml:space="preserve"> together</w:t>
      </w:r>
      <w:r w:rsidR="00526342">
        <w:t>.  For example, this type of title block may separate a d</w:t>
      </w:r>
      <w:r>
        <w:t>atabase call or e-mail object.</w:t>
      </w:r>
    </w:p>
    <w:p w:rsidR="001806FE" w:rsidRDefault="00F10A88" w:rsidP="001806FE">
      <w:pPr>
        <w:pStyle w:val="BodyText"/>
      </w:pPr>
    </w:p>
    <w:p w:rsidR="001806FE" w:rsidRDefault="00526342" w:rsidP="001806FE">
      <w:pPr>
        <w:pStyle w:val="CodeSample"/>
        <w:ind w:left="990"/>
      </w:pPr>
      <w:r>
        <w:t>/*-----------------------------------------------------------------------------</w:t>
      </w:r>
    </w:p>
    <w:p w:rsidR="001806FE" w:rsidRDefault="00526342" w:rsidP="001806FE">
      <w:pPr>
        <w:pStyle w:val="CodeSample"/>
        <w:ind w:left="990"/>
      </w:pPr>
      <w:r>
        <w:t>| [SECTION TITLE]</w:t>
      </w:r>
    </w:p>
    <w:p w:rsidR="001806FE" w:rsidRPr="00A076BD" w:rsidRDefault="00526342" w:rsidP="001806FE">
      <w:pPr>
        <w:pStyle w:val="CodeSample"/>
        <w:ind w:left="990"/>
      </w:pPr>
      <w:r>
        <w:t>\----------------------------------------------------------------------------*/</w:t>
      </w:r>
    </w:p>
    <w:p w:rsidR="001806FE" w:rsidRDefault="00526342" w:rsidP="001806FE">
      <w:pPr>
        <w:pStyle w:val="Heading2"/>
      </w:pPr>
      <w:bookmarkStart w:id="60" w:name="_Toc95204590"/>
      <w:bookmarkStart w:id="61" w:name="_Toc172389712"/>
      <w:r>
        <w:t>Inline Comments</w:t>
      </w:r>
      <w:bookmarkEnd w:id="60"/>
      <w:bookmarkEnd w:id="61"/>
    </w:p>
    <w:p w:rsidR="001806FE" w:rsidRDefault="00526342" w:rsidP="001806FE">
      <w:pPr>
        <w:pStyle w:val="BodyText"/>
      </w:pPr>
      <w:r>
        <w:t>Beyond this, simply use inline comments using the standard // syntax.  Comments should be un-indented two spaces so that the comment itself lines up with the code; this helps with readability and also maintains indentation for code that is commented out.  For instance:</w:t>
      </w:r>
    </w:p>
    <w:p w:rsidR="001806FE" w:rsidRDefault="00F10A88" w:rsidP="001806FE">
      <w:pPr>
        <w:pStyle w:val="BodyText"/>
      </w:pPr>
    </w:p>
    <w:p w:rsidR="001806FE" w:rsidRDefault="00526342" w:rsidP="001806FE">
      <w:pPr>
        <w:pStyle w:val="CodeSample"/>
        <w:ind w:left="990"/>
      </w:pPr>
      <w:r>
        <w:t>public void FunctionName(String paramName) {</w:t>
      </w:r>
    </w:p>
    <w:p w:rsidR="001806FE" w:rsidRDefault="00526342" w:rsidP="001806FE">
      <w:pPr>
        <w:pStyle w:val="CodeSample"/>
        <w:ind w:left="990"/>
      </w:pPr>
      <w:r>
        <w:t>//Begin function</w:t>
      </w:r>
    </w:p>
    <w:p w:rsidR="001806FE" w:rsidRDefault="00526342" w:rsidP="001806FE">
      <w:pPr>
        <w:pStyle w:val="CodeSample"/>
        <w:ind w:left="990"/>
      </w:pPr>
      <w:r>
        <w:t xml:space="preserve">  if (bolCondition) {</w:t>
      </w:r>
    </w:p>
    <w:p w:rsidR="001806FE" w:rsidRDefault="00526342" w:rsidP="001806FE">
      <w:pPr>
        <w:pStyle w:val="CodeSample"/>
        <w:ind w:left="990"/>
      </w:pPr>
      <w:r>
        <w:t xml:space="preserve">  //intCounter++;    </w:t>
      </w:r>
    </w:p>
    <w:p w:rsidR="001806FE" w:rsidRDefault="00526342" w:rsidP="001806FE">
      <w:pPr>
        <w:pStyle w:val="CodeSample"/>
        <w:ind w:left="990"/>
      </w:pPr>
      <w:r>
        <w:t xml:space="preserve">    Response.Write(paramName);</w:t>
      </w:r>
    </w:p>
    <w:p w:rsidR="001806FE" w:rsidRDefault="00526342" w:rsidP="001806FE">
      <w:pPr>
        <w:pStyle w:val="CodeSample"/>
        <w:ind w:left="990"/>
      </w:pPr>
      <w:r>
        <w:t xml:space="preserve">    }</w:t>
      </w:r>
    </w:p>
    <w:p w:rsidR="001806FE" w:rsidRPr="00A076BD" w:rsidRDefault="00526342" w:rsidP="001806FE">
      <w:pPr>
        <w:pStyle w:val="CodeSample"/>
        <w:ind w:left="990"/>
      </w:pPr>
      <w:r>
        <w:t xml:space="preserve">  }</w:t>
      </w:r>
    </w:p>
    <w:p w:rsidR="001806FE" w:rsidRDefault="00F10A88" w:rsidP="001806FE">
      <w:pPr>
        <w:pStyle w:val="BodyText"/>
      </w:pPr>
    </w:p>
    <w:p w:rsidR="001806FE" w:rsidRDefault="00526342" w:rsidP="001806FE">
      <w:pPr>
        <w:pStyle w:val="BodyText"/>
      </w:pPr>
      <w:r>
        <w:lastRenderedPageBreak/>
        <w:t>In this sample, notice th</w:t>
      </w:r>
      <w:r w:rsidR="00532E23">
        <w:t>at “intCounter++;” maintains it</w:t>
      </w:r>
      <w:r>
        <w:t>s proper indentation despite the preceding comment.  Likewise, the text comment “Begin function” is clearly aligned and associated with the if-condition.</w:t>
      </w:r>
    </w:p>
    <w:p w:rsidR="001806FE" w:rsidRDefault="00526342" w:rsidP="001806FE">
      <w:pPr>
        <w:pStyle w:val="Heading2"/>
      </w:pPr>
      <w:bookmarkStart w:id="62" w:name="_Toc95204591"/>
      <w:bookmarkStart w:id="63" w:name="_Toc172389713"/>
      <w:r>
        <w:t>Editorial Comments</w:t>
      </w:r>
      <w:bookmarkEnd w:id="62"/>
      <w:bookmarkEnd w:id="63"/>
    </w:p>
    <w:p w:rsidR="001806FE" w:rsidRDefault="00526342" w:rsidP="001806FE">
      <w:pPr>
        <w:pStyle w:val="BodyText"/>
      </w:pPr>
      <w:r>
        <w:t xml:space="preserve">There are a few special comment types which </w:t>
      </w:r>
      <w:r w:rsidR="006D0794">
        <w:t xml:space="preserve">are </w:t>
      </w:r>
      <w:r>
        <w:t>often used.  These are helpful for provided editorial feedback to reviewers, developers or future owners.  These usually follow the general syntax:</w:t>
      </w:r>
    </w:p>
    <w:p w:rsidR="001806FE" w:rsidRDefault="00F10A88" w:rsidP="001806FE">
      <w:pPr>
        <w:pStyle w:val="BodyText"/>
      </w:pPr>
    </w:p>
    <w:p w:rsidR="001806FE" w:rsidRDefault="00526342" w:rsidP="001806FE">
      <w:pPr>
        <w:pStyle w:val="CodeSample"/>
        <w:ind w:left="990"/>
      </w:pPr>
      <w:r>
        <w:t>//###[TYPE] [FML][MMDDYY]: [Description]</w:t>
      </w:r>
    </w:p>
    <w:p w:rsidR="001806FE" w:rsidRDefault="00F10A88" w:rsidP="001806FE">
      <w:pPr>
        <w:pStyle w:val="BodyText"/>
      </w:pPr>
    </w:p>
    <w:p w:rsidR="001806FE" w:rsidRDefault="00526342" w:rsidP="001806FE">
      <w:pPr>
        <w:pStyle w:val="BodyText"/>
      </w:pPr>
      <w:r>
        <w:t>For instance,</w:t>
      </w:r>
    </w:p>
    <w:p w:rsidR="001806FE" w:rsidRDefault="00F10A88" w:rsidP="001806FE">
      <w:pPr>
        <w:pStyle w:val="BodyText"/>
      </w:pPr>
    </w:p>
    <w:p w:rsidR="001806FE" w:rsidRDefault="00526342" w:rsidP="001806FE">
      <w:pPr>
        <w:pStyle w:val="CodeSample"/>
        <w:ind w:left="990"/>
      </w:pPr>
      <w:r>
        <w:t>//###BUG JJC101505: This code does not appear to work and needs to be reviewed.</w:t>
      </w:r>
    </w:p>
    <w:p w:rsidR="001806FE" w:rsidRDefault="00526342" w:rsidP="001806FE">
      <w:pPr>
        <w:pStyle w:val="Heading3"/>
      </w:pPr>
      <w:bookmarkStart w:id="64" w:name="_Toc95204592"/>
      <w:r>
        <w:t>Popular Types</w:t>
      </w:r>
      <w:bookmarkEnd w:id="64"/>
    </w:p>
    <w:p w:rsidR="001806FE" w:rsidRDefault="00526342" w:rsidP="001806FE">
      <w:pPr>
        <w:pStyle w:val="BodyTextIndent2"/>
      </w:pPr>
      <w:r>
        <w:t>The following is a list of popular editorial comment types used at Ignia.</w:t>
      </w:r>
    </w:p>
    <w:tbl>
      <w:tblPr>
        <w:tblW w:w="0" w:type="auto"/>
        <w:tblInd w:w="1098" w:type="dxa"/>
        <w:tblLook w:val="01E0" w:firstRow="1" w:lastRow="1" w:firstColumn="1" w:lastColumn="1" w:noHBand="0" w:noVBand="0"/>
      </w:tblPr>
      <w:tblGrid>
        <w:gridCol w:w="1260"/>
        <w:gridCol w:w="6498"/>
      </w:tblGrid>
      <w:tr w:rsidR="001806FE" w:rsidTr="006D0794">
        <w:tc>
          <w:tcPr>
            <w:tcW w:w="1260" w:type="dxa"/>
          </w:tcPr>
          <w:p w:rsidR="001806FE" w:rsidRDefault="00526342" w:rsidP="006D0794">
            <w:pPr>
              <w:pStyle w:val="BodyTextIndent2"/>
              <w:ind w:left="0"/>
            </w:pPr>
            <w:r>
              <w:t>BUG</w:t>
            </w:r>
          </w:p>
        </w:tc>
        <w:tc>
          <w:tcPr>
            <w:tcW w:w="6498" w:type="dxa"/>
          </w:tcPr>
          <w:p w:rsidR="001806FE" w:rsidRDefault="00526342" w:rsidP="006D0794">
            <w:pPr>
              <w:pStyle w:val="BodyTextIndent2"/>
              <w:ind w:left="0"/>
            </w:pPr>
            <w:r>
              <w:t>Denotes a known issue or bug</w:t>
            </w:r>
          </w:p>
        </w:tc>
      </w:tr>
      <w:tr w:rsidR="001806FE" w:rsidTr="006D0794">
        <w:tc>
          <w:tcPr>
            <w:tcW w:w="1260" w:type="dxa"/>
          </w:tcPr>
          <w:p w:rsidR="001806FE" w:rsidRDefault="00526342" w:rsidP="006D0794">
            <w:pPr>
              <w:pStyle w:val="BodyTextIndent2"/>
              <w:ind w:left="0"/>
            </w:pPr>
            <w:r>
              <w:t>TODO</w:t>
            </w:r>
          </w:p>
        </w:tc>
        <w:tc>
          <w:tcPr>
            <w:tcW w:w="6498" w:type="dxa"/>
          </w:tcPr>
          <w:p w:rsidR="001806FE" w:rsidRDefault="00526342" w:rsidP="006D0794">
            <w:pPr>
              <w:pStyle w:val="BodyTextIndent2"/>
              <w:ind w:left="0"/>
            </w:pPr>
            <w:r>
              <w:t>Placeholder for code that is incomplete</w:t>
            </w:r>
          </w:p>
        </w:tc>
      </w:tr>
      <w:tr w:rsidR="001806FE" w:rsidTr="006D0794">
        <w:tc>
          <w:tcPr>
            <w:tcW w:w="1260" w:type="dxa"/>
          </w:tcPr>
          <w:p w:rsidR="001806FE" w:rsidRDefault="00526342" w:rsidP="006D0794">
            <w:pPr>
              <w:pStyle w:val="BodyTextIndent2"/>
              <w:ind w:left="0"/>
            </w:pPr>
            <w:r>
              <w:t>HACK</w:t>
            </w:r>
          </w:p>
        </w:tc>
        <w:tc>
          <w:tcPr>
            <w:tcW w:w="6498" w:type="dxa"/>
          </w:tcPr>
          <w:p w:rsidR="001806FE" w:rsidRDefault="00526342" w:rsidP="006D0794">
            <w:pPr>
              <w:pStyle w:val="BodyTextIndent2"/>
              <w:ind w:left="0"/>
            </w:pPr>
            <w:r>
              <w:t>Comment acknowledging an inelegant approach to a problem with an explanation of why this was used.</w:t>
            </w:r>
          </w:p>
        </w:tc>
      </w:tr>
      <w:tr w:rsidR="001806FE" w:rsidTr="006D0794">
        <w:tc>
          <w:tcPr>
            <w:tcW w:w="1260" w:type="dxa"/>
          </w:tcPr>
          <w:p w:rsidR="001806FE" w:rsidRDefault="00526342" w:rsidP="006D0794">
            <w:pPr>
              <w:pStyle w:val="BodyTextIndent2"/>
              <w:ind w:left="0"/>
            </w:pPr>
            <w:r>
              <w:t>REM</w:t>
            </w:r>
          </w:p>
        </w:tc>
        <w:tc>
          <w:tcPr>
            <w:tcW w:w="6498" w:type="dxa"/>
          </w:tcPr>
          <w:p w:rsidR="001806FE" w:rsidRDefault="00526342" w:rsidP="006D0794">
            <w:pPr>
              <w:pStyle w:val="BodyTextIndent2"/>
              <w:ind w:left="0"/>
            </w:pPr>
            <w:r>
              <w:t>Preceding temporarily commented out code explaining why it was removed and at what point it can be either permanently removed or uncommented.</w:t>
            </w:r>
          </w:p>
        </w:tc>
      </w:tr>
      <w:tr w:rsidR="001806FE" w:rsidTr="006D0794">
        <w:tc>
          <w:tcPr>
            <w:tcW w:w="1260" w:type="dxa"/>
          </w:tcPr>
          <w:p w:rsidR="001806FE" w:rsidRDefault="00526342" w:rsidP="006D0794">
            <w:pPr>
              <w:pStyle w:val="BodyTextIndent2"/>
              <w:ind w:left="0"/>
            </w:pPr>
            <w:r>
              <w:t>EDIT</w:t>
            </w:r>
          </w:p>
        </w:tc>
        <w:tc>
          <w:tcPr>
            <w:tcW w:w="6498" w:type="dxa"/>
          </w:tcPr>
          <w:p w:rsidR="001806FE" w:rsidRDefault="00526342" w:rsidP="006D0794">
            <w:pPr>
              <w:pStyle w:val="BodyTextIndent2"/>
              <w:ind w:left="0"/>
            </w:pPr>
            <w:r>
              <w:t>If a major change is made the edit may be recorded inline (as well as the revision history) to specifically mark a functional modification which may be of value to future developers editing or viewing the file.</w:t>
            </w:r>
          </w:p>
        </w:tc>
      </w:tr>
    </w:tbl>
    <w:p w:rsidR="001D1F30" w:rsidRDefault="001D1F30" w:rsidP="001D1F30">
      <w:pPr>
        <w:pStyle w:val="Heading1"/>
      </w:pPr>
      <w:bookmarkStart w:id="65" w:name="_Toc172389714"/>
      <w:r>
        <w:t>Organization</w:t>
      </w:r>
      <w:bookmarkEnd w:id="65"/>
    </w:p>
    <w:p w:rsidR="001D1F30" w:rsidRPr="001D1F30" w:rsidRDefault="008A3986" w:rsidP="001D1F30">
      <w:r>
        <w:t xml:space="preserve">Source files for class libraries should be organized in a consistent format to make it easy for developers to maintain applications.  Folders should be modeled after namespaces; in turn, each file should represent (in contents and name) an individual type – although that type may include multiple internal classes.   Within each file, members should be grouped by type (fields, constructors, properties, events, methods, etc) and alphabetized.  </w:t>
      </w:r>
    </w:p>
    <w:p w:rsidR="001806FE" w:rsidRDefault="00526342" w:rsidP="001806FE">
      <w:pPr>
        <w:pStyle w:val="Heading1"/>
      </w:pPr>
      <w:bookmarkStart w:id="66" w:name="_Toc172389715"/>
      <w:r>
        <w:t>Conclusion</w:t>
      </w:r>
      <w:bookmarkEnd w:id="66"/>
    </w:p>
    <w:p w:rsidR="001806FE" w:rsidRPr="00AA05DF" w:rsidRDefault="00526342" w:rsidP="001806FE">
      <w:r w:rsidRPr="00AA05DF">
        <w:t xml:space="preserve">While many of these rules may seem initially tedious they will quickly become a matter of habit and will aid both yourself and other developers in the creation, maintenance, review and updating of code.  </w:t>
      </w:r>
    </w:p>
    <w:sdt>
      <w:sdtPr>
        <w:rPr>
          <w:b w:val="0"/>
          <w:bCs w:val="0"/>
          <w:smallCaps w:val="0"/>
          <w:sz w:val="20"/>
          <w:szCs w:val="20"/>
        </w:rPr>
        <w:id w:val="484060479"/>
        <w:docPartObj>
          <w:docPartGallery w:val="Bibliographies"/>
          <w:docPartUnique/>
        </w:docPartObj>
      </w:sdtPr>
      <w:sdtEndPr/>
      <w:sdtContent>
        <w:bookmarkStart w:id="67" w:name="_Toc172389716" w:displacedByCustomXml="prev"/>
        <w:p w:rsidR="00772251" w:rsidRDefault="00772251">
          <w:pPr>
            <w:pStyle w:val="Heading1"/>
          </w:pPr>
          <w:r>
            <w:t>Works Cited</w:t>
          </w:r>
          <w:bookmarkEnd w:id="67"/>
        </w:p>
        <w:p w:rsidR="00AF18D3" w:rsidRDefault="00772251" w:rsidP="00AF18D3">
          <w:pPr>
            <w:pStyle w:val="Bibliography"/>
            <w:rPr>
              <w:noProof/>
            </w:rPr>
          </w:pPr>
          <w:r>
            <w:fldChar w:fldCharType="begin"/>
          </w:r>
          <w:r>
            <w:instrText xml:space="preserve"> BIBLIOGRAPHY </w:instrText>
          </w:r>
          <w:r>
            <w:fldChar w:fldCharType="separate"/>
          </w:r>
          <w:r w:rsidR="00AF18D3">
            <w:rPr>
              <w:noProof/>
            </w:rPr>
            <w:t xml:space="preserve">Microsoft Corporation. (2005, January 26). </w:t>
          </w:r>
          <w:r w:rsidR="00AF18D3">
            <w:rPr>
              <w:i/>
              <w:iCs/>
              <w:noProof/>
            </w:rPr>
            <w:t>Internal Coding Guidelines</w:t>
          </w:r>
          <w:r w:rsidR="00AF18D3">
            <w:rPr>
              <w:noProof/>
            </w:rPr>
            <w:t>. Retrieved 07 16, 2007, from Brad Abrams Blog: http://blogs.msdn.com/brada/articles/361363.aspx</w:t>
          </w:r>
        </w:p>
        <w:p w:rsidR="00AF18D3" w:rsidRDefault="00AF18D3" w:rsidP="00AF18D3">
          <w:pPr>
            <w:pStyle w:val="Bibliography"/>
            <w:rPr>
              <w:noProof/>
            </w:rPr>
          </w:pPr>
          <w:r>
            <w:rPr>
              <w:noProof/>
            </w:rPr>
            <w:t xml:space="preserve">Microsoft Corporation. (2005, 10 15). </w:t>
          </w:r>
          <w:r>
            <w:rPr>
              <w:i/>
              <w:iCs/>
              <w:noProof/>
            </w:rPr>
            <w:t>Test</w:t>
          </w:r>
          <w:r>
            <w:rPr>
              <w:noProof/>
            </w:rPr>
            <w:t>. Retrieved June 10, 2007, from Test: http://www.microsoft.com</w:t>
          </w:r>
        </w:p>
        <w:p w:rsidR="001806FE" w:rsidRDefault="00772251" w:rsidP="008A3986">
          <w:r>
            <w:fldChar w:fldCharType="end"/>
          </w:r>
        </w:p>
      </w:sdtContent>
    </w:sdt>
    <w:sectPr w:rsidR="001806FE">
      <w:headerReference w:type="default" r:id="rId9"/>
      <w:pgSz w:w="12240" w:h="15840" w:code="1"/>
      <w:pgMar w:top="1267"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A88" w:rsidRDefault="00F10A88">
      <w:r>
        <w:separator/>
      </w:r>
    </w:p>
  </w:endnote>
  <w:endnote w:type="continuationSeparator" w:id="0">
    <w:p w:rsidR="00F10A88" w:rsidRDefault="00F1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A88" w:rsidRDefault="00F10A88">
      <w:r>
        <w:separator/>
      </w:r>
    </w:p>
  </w:footnote>
  <w:footnote w:type="continuationSeparator" w:id="0">
    <w:p w:rsidR="00F10A88" w:rsidRDefault="00F10A88">
      <w:r>
        <w:continuationSeparator/>
      </w:r>
    </w:p>
  </w:footnote>
  <w:footnote w:id="1">
    <w:p w:rsidR="00260CA7" w:rsidRPr="00260CA7" w:rsidRDefault="00260CA7">
      <w:pPr>
        <w:pStyle w:val="FootnoteText"/>
        <w:rPr>
          <w:sz w:val="18"/>
        </w:rPr>
      </w:pPr>
      <w:r w:rsidRPr="00260CA7">
        <w:rPr>
          <w:rStyle w:val="FootnoteReference"/>
          <w:sz w:val="18"/>
        </w:rPr>
        <w:footnoteRef/>
      </w:r>
      <w:r w:rsidRPr="00260CA7">
        <w:rPr>
          <w:sz w:val="18"/>
        </w:rPr>
        <w:t xml:space="preserve"> Fields are also known as member variables and sometimes global variables.</w:t>
      </w:r>
    </w:p>
  </w:footnote>
  <w:footnote w:id="2">
    <w:p w:rsidR="00EF5E8D" w:rsidRDefault="00EF5E8D" w:rsidP="00EF5E8D">
      <w:pPr>
        <w:pStyle w:val="FootnoteText"/>
      </w:pPr>
      <w:r>
        <w:rPr>
          <w:rStyle w:val="FootnoteReference"/>
        </w:rPr>
        <w:footnoteRef/>
      </w:r>
      <w:r>
        <w:t xml:space="preserve"> See “I’m Hungary” from Joel on Software’s post “</w:t>
      </w:r>
      <w:hyperlink r:id="rId1" w:history="1">
        <w:r w:rsidRPr="004743C4">
          <w:rPr>
            <w:rStyle w:val="Hyperlink"/>
          </w:rPr>
          <w:t>Making Wrong Code Look Wrong</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FE" w:rsidRDefault="00532E23">
    <w:pPr>
      <w:pStyle w:val="Header"/>
    </w:pPr>
    <w:fldSimple w:instr=" TITLE  \* MERGEFORMAT ">
      <w:r w:rsidR="00526342">
        <w:t>C# Style and Design Guidelines</w:t>
      </w:r>
    </w:fldSimple>
    <w:r w:rsidR="00526342">
      <w:t xml:space="preserve"> (Ignia, LLC)</w:t>
    </w:r>
    <w:r w:rsidR="00526342">
      <w:tab/>
    </w:r>
    <w:r w:rsidR="00526342">
      <w:fldChar w:fldCharType="begin"/>
    </w:r>
    <w:r w:rsidR="00526342">
      <w:instrText xml:space="preserve"> PAGE </w:instrText>
    </w:r>
    <w:r w:rsidR="00526342">
      <w:fldChar w:fldCharType="separate"/>
    </w:r>
    <w:r w:rsidR="00967C0E">
      <w:rPr>
        <w:noProof/>
      </w:rPr>
      <w:t>3</w:t>
    </w:r>
    <w:r w:rsidR="00526342">
      <w:fldChar w:fldCharType="end"/>
    </w:r>
    <w:r w:rsidR="00526342">
      <w:t>/</w:t>
    </w:r>
    <w:r w:rsidR="00F10A88">
      <w:fldChar w:fldCharType="begin"/>
    </w:r>
    <w:r w:rsidR="00F10A88">
      <w:instrText xml:space="preserve"> NUMPAGES </w:instrText>
    </w:r>
    <w:r w:rsidR="00F10A88">
      <w:fldChar w:fldCharType="separate"/>
    </w:r>
    <w:r w:rsidR="00967C0E">
      <w:rPr>
        <w:noProof/>
      </w:rPr>
      <w:t>8</w:t>
    </w:r>
    <w:r w:rsidR="00F10A8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729B"/>
    <w:multiLevelType w:val="hybridMultilevel"/>
    <w:tmpl w:val="C25863A8"/>
    <w:lvl w:ilvl="0" w:tplc="0409000F">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7E4BEB"/>
    <w:multiLevelType w:val="hybridMultilevel"/>
    <w:tmpl w:val="9AC04748"/>
    <w:lvl w:ilvl="0" w:tplc="0409000F">
      <w:start w:val="1"/>
      <w:numFmt w:val="decimal"/>
      <w:lvlText w:val="%1."/>
      <w:lvlJc w:val="left"/>
      <w:pPr>
        <w:tabs>
          <w:tab w:val="num" w:pos="1053"/>
        </w:tabs>
        <w:ind w:left="1053" w:hanging="360"/>
      </w:pPr>
    </w:lvl>
    <w:lvl w:ilvl="1" w:tplc="04090019" w:tentative="1">
      <w:start w:val="1"/>
      <w:numFmt w:val="lowerLetter"/>
      <w:lvlText w:val="%2."/>
      <w:lvlJc w:val="left"/>
      <w:pPr>
        <w:tabs>
          <w:tab w:val="num" w:pos="1773"/>
        </w:tabs>
        <w:ind w:left="1773" w:hanging="360"/>
      </w:pPr>
    </w:lvl>
    <w:lvl w:ilvl="2" w:tplc="0409001B" w:tentative="1">
      <w:start w:val="1"/>
      <w:numFmt w:val="lowerRoman"/>
      <w:lvlText w:val="%3."/>
      <w:lvlJc w:val="right"/>
      <w:pPr>
        <w:tabs>
          <w:tab w:val="num" w:pos="2493"/>
        </w:tabs>
        <w:ind w:left="2493" w:hanging="180"/>
      </w:pPr>
    </w:lvl>
    <w:lvl w:ilvl="3" w:tplc="0409000F" w:tentative="1">
      <w:start w:val="1"/>
      <w:numFmt w:val="decimal"/>
      <w:lvlText w:val="%4."/>
      <w:lvlJc w:val="left"/>
      <w:pPr>
        <w:tabs>
          <w:tab w:val="num" w:pos="3213"/>
        </w:tabs>
        <w:ind w:left="3213" w:hanging="360"/>
      </w:pPr>
    </w:lvl>
    <w:lvl w:ilvl="4" w:tplc="04090019" w:tentative="1">
      <w:start w:val="1"/>
      <w:numFmt w:val="lowerLetter"/>
      <w:lvlText w:val="%5."/>
      <w:lvlJc w:val="left"/>
      <w:pPr>
        <w:tabs>
          <w:tab w:val="num" w:pos="3933"/>
        </w:tabs>
        <w:ind w:left="3933" w:hanging="360"/>
      </w:pPr>
    </w:lvl>
    <w:lvl w:ilvl="5" w:tplc="0409001B" w:tentative="1">
      <w:start w:val="1"/>
      <w:numFmt w:val="lowerRoman"/>
      <w:lvlText w:val="%6."/>
      <w:lvlJc w:val="right"/>
      <w:pPr>
        <w:tabs>
          <w:tab w:val="num" w:pos="4653"/>
        </w:tabs>
        <w:ind w:left="4653" w:hanging="180"/>
      </w:pPr>
    </w:lvl>
    <w:lvl w:ilvl="6" w:tplc="0409000F" w:tentative="1">
      <w:start w:val="1"/>
      <w:numFmt w:val="decimal"/>
      <w:lvlText w:val="%7."/>
      <w:lvlJc w:val="left"/>
      <w:pPr>
        <w:tabs>
          <w:tab w:val="num" w:pos="5373"/>
        </w:tabs>
        <w:ind w:left="5373" w:hanging="360"/>
      </w:pPr>
    </w:lvl>
    <w:lvl w:ilvl="7" w:tplc="04090019" w:tentative="1">
      <w:start w:val="1"/>
      <w:numFmt w:val="lowerLetter"/>
      <w:lvlText w:val="%8."/>
      <w:lvlJc w:val="left"/>
      <w:pPr>
        <w:tabs>
          <w:tab w:val="num" w:pos="6093"/>
        </w:tabs>
        <w:ind w:left="6093" w:hanging="360"/>
      </w:pPr>
    </w:lvl>
    <w:lvl w:ilvl="8" w:tplc="0409001B" w:tentative="1">
      <w:start w:val="1"/>
      <w:numFmt w:val="lowerRoman"/>
      <w:lvlText w:val="%9."/>
      <w:lvlJc w:val="right"/>
      <w:pPr>
        <w:tabs>
          <w:tab w:val="num" w:pos="6813"/>
        </w:tabs>
        <w:ind w:left="6813" w:hanging="180"/>
      </w:pPr>
    </w:lvl>
  </w:abstractNum>
  <w:abstractNum w:abstractNumId="2">
    <w:nsid w:val="03657386"/>
    <w:multiLevelType w:val="hybridMultilevel"/>
    <w:tmpl w:val="AF864D46"/>
    <w:lvl w:ilvl="0" w:tplc="9E98C0C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42E76B2"/>
    <w:multiLevelType w:val="hybridMultilevel"/>
    <w:tmpl w:val="C25863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5466E85"/>
    <w:multiLevelType w:val="hybridMultilevel"/>
    <w:tmpl w:val="72465F1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0B4C06A0"/>
    <w:multiLevelType w:val="hybridMultilevel"/>
    <w:tmpl w:val="92043E86"/>
    <w:lvl w:ilvl="0" w:tplc="04090001">
      <w:start w:val="1"/>
      <w:numFmt w:val="bullet"/>
      <w:lvlText w:val=""/>
      <w:lvlJc w:val="left"/>
      <w:pPr>
        <w:tabs>
          <w:tab w:val="num" w:pos="1044"/>
        </w:tabs>
        <w:ind w:left="1044" w:hanging="360"/>
      </w:pPr>
      <w:rPr>
        <w:rFonts w:ascii="Symbol" w:hAnsi="Symbol" w:hint="default"/>
      </w:rPr>
    </w:lvl>
    <w:lvl w:ilvl="1" w:tplc="04090003" w:tentative="1">
      <w:start w:val="1"/>
      <w:numFmt w:val="bullet"/>
      <w:lvlText w:val="o"/>
      <w:lvlJc w:val="left"/>
      <w:pPr>
        <w:tabs>
          <w:tab w:val="num" w:pos="1764"/>
        </w:tabs>
        <w:ind w:left="1764" w:hanging="360"/>
      </w:pPr>
      <w:rPr>
        <w:rFonts w:ascii="Courier New" w:hAnsi="Courier New" w:hint="default"/>
      </w:rPr>
    </w:lvl>
    <w:lvl w:ilvl="2" w:tplc="04090005" w:tentative="1">
      <w:start w:val="1"/>
      <w:numFmt w:val="bullet"/>
      <w:lvlText w:val=""/>
      <w:lvlJc w:val="left"/>
      <w:pPr>
        <w:tabs>
          <w:tab w:val="num" w:pos="2484"/>
        </w:tabs>
        <w:ind w:left="2484" w:hanging="360"/>
      </w:pPr>
      <w:rPr>
        <w:rFonts w:ascii="Wingdings" w:hAnsi="Wingdings" w:hint="default"/>
      </w:rPr>
    </w:lvl>
    <w:lvl w:ilvl="3" w:tplc="04090001" w:tentative="1">
      <w:start w:val="1"/>
      <w:numFmt w:val="bullet"/>
      <w:lvlText w:val=""/>
      <w:lvlJc w:val="left"/>
      <w:pPr>
        <w:tabs>
          <w:tab w:val="num" w:pos="3204"/>
        </w:tabs>
        <w:ind w:left="3204" w:hanging="360"/>
      </w:pPr>
      <w:rPr>
        <w:rFonts w:ascii="Symbol" w:hAnsi="Symbol" w:hint="default"/>
      </w:rPr>
    </w:lvl>
    <w:lvl w:ilvl="4" w:tplc="04090003" w:tentative="1">
      <w:start w:val="1"/>
      <w:numFmt w:val="bullet"/>
      <w:lvlText w:val="o"/>
      <w:lvlJc w:val="left"/>
      <w:pPr>
        <w:tabs>
          <w:tab w:val="num" w:pos="3924"/>
        </w:tabs>
        <w:ind w:left="3924" w:hanging="360"/>
      </w:pPr>
      <w:rPr>
        <w:rFonts w:ascii="Courier New" w:hAnsi="Courier New" w:hint="default"/>
      </w:rPr>
    </w:lvl>
    <w:lvl w:ilvl="5" w:tplc="04090005" w:tentative="1">
      <w:start w:val="1"/>
      <w:numFmt w:val="bullet"/>
      <w:lvlText w:val=""/>
      <w:lvlJc w:val="left"/>
      <w:pPr>
        <w:tabs>
          <w:tab w:val="num" w:pos="4644"/>
        </w:tabs>
        <w:ind w:left="4644" w:hanging="360"/>
      </w:pPr>
      <w:rPr>
        <w:rFonts w:ascii="Wingdings" w:hAnsi="Wingdings" w:hint="default"/>
      </w:rPr>
    </w:lvl>
    <w:lvl w:ilvl="6" w:tplc="04090001" w:tentative="1">
      <w:start w:val="1"/>
      <w:numFmt w:val="bullet"/>
      <w:lvlText w:val=""/>
      <w:lvlJc w:val="left"/>
      <w:pPr>
        <w:tabs>
          <w:tab w:val="num" w:pos="5364"/>
        </w:tabs>
        <w:ind w:left="5364" w:hanging="360"/>
      </w:pPr>
      <w:rPr>
        <w:rFonts w:ascii="Symbol" w:hAnsi="Symbol" w:hint="default"/>
      </w:rPr>
    </w:lvl>
    <w:lvl w:ilvl="7" w:tplc="04090003" w:tentative="1">
      <w:start w:val="1"/>
      <w:numFmt w:val="bullet"/>
      <w:lvlText w:val="o"/>
      <w:lvlJc w:val="left"/>
      <w:pPr>
        <w:tabs>
          <w:tab w:val="num" w:pos="6084"/>
        </w:tabs>
        <w:ind w:left="6084" w:hanging="360"/>
      </w:pPr>
      <w:rPr>
        <w:rFonts w:ascii="Courier New" w:hAnsi="Courier New" w:hint="default"/>
      </w:rPr>
    </w:lvl>
    <w:lvl w:ilvl="8" w:tplc="04090005" w:tentative="1">
      <w:start w:val="1"/>
      <w:numFmt w:val="bullet"/>
      <w:lvlText w:val=""/>
      <w:lvlJc w:val="left"/>
      <w:pPr>
        <w:tabs>
          <w:tab w:val="num" w:pos="6804"/>
        </w:tabs>
        <w:ind w:left="6804" w:hanging="360"/>
      </w:pPr>
      <w:rPr>
        <w:rFonts w:ascii="Wingdings" w:hAnsi="Wingdings" w:hint="default"/>
      </w:rPr>
    </w:lvl>
  </w:abstractNum>
  <w:abstractNum w:abstractNumId="6">
    <w:nsid w:val="0EAC215C"/>
    <w:multiLevelType w:val="hybridMultilevel"/>
    <w:tmpl w:val="13669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AE1CE3"/>
    <w:multiLevelType w:val="hybridMultilevel"/>
    <w:tmpl w:val="748483F0"/>
    <w:lvl w:ilvl="0" w:tplc="7126353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5E77DB8"/>
    <w:multiLevelType w:val="hybridMultilevel"/>
    <w:tmpl w:val="8B2A4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4E721F"/>
    <w:multiLevelType w:val="hybridMultilevel"/>
    <w:tmpl w:val="C25863A8"/>
    <w:lvl w:ilvl="0" w:tplc="0409000F">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7CA3AFF"/>
    <w:multiLevelType w:val="hybridMultilevel"/>
    <w:tmpl w:val="84B47A26"/>
    <w:lvl w:ilvl="0" w:tplc="8D22D3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43924D0"/>
    <w:multiLevelType w:val="hybridMultilevel"/>
    <w:tmpl w:val="0756F2C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2682519"/>
    <w:multiLevelType w:val="multilevel"/>
    <w:tmpl w:val="674652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nsid w:val="54BA1B6B"/>
    <w:multiLevelType w:val="hybridMultilevel"/>
    <w:tmpl w:val="026C66DE"/>
    <w:lvl w:ilvl="0" w:tplc="FFFFFFFF">
      <w:start w:val="1"/>
      <w:numFmt w:val="bullet"/>
      <w:lvlText w:val=""/>
      <w:lvlJc w:val="left"/>
      <w:pPr>
        <w:tabs>
          <w:tab w:val="num" w:pos="1100"/>
        </w:tabs>
        <w:ind w:left="1100" w:hanging="360"/>
      </w:pPr>
      <w:rPr>
        <w:rFonts w:ascii="Symbol" w:hAnsi="Symbol" w:hint="default"/>
      </w:rPr>
    </w:lvl>
    <w:lvl w:ilvl="1" w:tplc="FFFFFFFF" w:tentative="1">
      <w:start w:val="1"/>
      <w:numFmt w:val="bullet"/>
      <w:lvlText w:val="o"/>
      <w:lvlJc w:val="left"/>
      <w:pPr>
        <w:tabs>
          <w:tab w:val="num" w:pos="1820"/>
        </w:tabs>
        <w:ind w:left="1820" w:hanging="360"/>
      </w:pPr>
      <w:rPr>
        <w:rFonts w:ascii="Courier New" w:hAnsi="Courier New" w:hint="default"/>
      </w:rPr>
    </w:lvl>
    <w:lvl w:ilvl="2" w:tplc="FFFFFFFF" w:tentative="1">
      <w:start w:val="1"/>
      <w:numFmt w:val="bullet"/>
      <w:lvlText w:val=""/>
      <w:lvlJc w:val="left"/>
      <w:pPr>
        <w:tabs>
          <w:tab w:val="num" w:pos="2540"/>
        </w:tabs>
        <w:ind w:left="2540" w:hanging="360"/>
      </w:pPr>
      <w:rPr>
        <w:rFonts w:ascii="Wingdings" w:hAnsi="Wingdings" w:hint="default"/>
      </w:rPr>
    </w:lvl>
    <w:lvl w:ilvl="3" w:tplc="FFFFFFFF" w:tentative="1">
      <w:start w:val="1"/>
      <w:numFmt w:val="bullet"/>
      <w:lvlText w:val=""/>
      <w:lvlJc w:val="left"/>
      <w:pPr>
        <w:tabs>
          <w:tab w:val="num" w:pos="3260"/>
        </w:tabs>
        <w:ind w:left="3260" w:hanging="360"/>
      </w:pPr>
      <w:rPr>
        <w:rFonts w:ascii="Symbol" w:hAnsi="Symbol" w:hint="default"/>
      </w:rPr>
    </w:lvl>
    <w:lvl w:ilvl="4" w:tplc="FFFFFFFF" w:tentative="1">
      <w:start w:val="1"/>
      <w:numFmt w:val="bullet"/>
      <w:lvlText w:val="o"/>
      <w:lvlJc w:val="left"/>
      <w:pPr>
        <w:tabs>
          <w:tab w:val="num" w:pos="3980"/>
        </w:tabs>
        <w:ind w:left="3980" w:hanging="360"/>
      </w:pPr>
      <w:rPr>
        <w:rFonts w:ascii="Courier New" w:hAnsi="Courier New" w:hint="default"/>
      </w:rPr>
    </w:lvl>
    <w:lvl w:ilvl="5" w:tplc="FFFFFFFF" w:tentative="1">
      <w:start w:val="1"/>
      <w:numFmt w:val="bullet"/>
      <w:lvlText w:val=""/>
      <w:lvlJc w:val="left"/>
      <w:pPr>
        <w:tabs>
          <w:tab w:val="num" w:pos="4700"/>
        </w:tabs>
        <w:ind w:left="4700" w:hanging="360"/>
      </w:pPr>
      <w:rPr>
        <w:rFonts w:ascii="Wingdings" w:hAnsi="Wingdings" w:hint="default"/>
      </w:rPr>
    </w:lvl>
    <w:lvl w:ilvl="6" w:tplc="FFFFFFFF" w:tentative="1">
      <w:start w:val="1"/>
      <w:numFmt w:val="bullet"/>
      <w:lvlText w:val=""/>
      <w:lvlJc w:val="left"/>
      <w:pPr>
        <w:tabs>
          <w:tab w:val="num" w:pos="5420"/>
        </w:tabs>
        <w:ind w:left="5420" w:hanging="360"/>
      </w:pPr>
      <w:rPr>
        <w:rFonts w:ascii="Symbol" w:hAnsi="Symbol" w:hint="default"/>
      </w:rPr>
    </w:lvl>
    <w:lvl w:ilvl="7" w:tplc="FFFFFFFF" w:tentative="1">
      <w:start w:val="1"/>
      <w:numFmt w:val="bullet"/>
      <w:lvlText w:val="o"/>
      <w:lvlJc w:val="left"/>
      <w:pPr>
        <w:tabs>
          <w:tab w:val="num" w:pos="6140"/>
        </w:tabs>
        <w:ind w:left="6140" w:hanging="360"/>
      </w:pPr>
      <w:rPr>
        <w:rFonts w:ascii="Courier New" w:hAnsi="Courier New" w:hint="default"/>
      </w:rPr>
    </w:lvl>
    <w:lvl w:ilvl="8" w:tplc="FFFFFFFF" w:tentative="1">
      <w:start w:val="1"/>
      <w:numFmt w:val="bullet"/>
      <w:lvlText w:val=""/>
      <w:lvlJc w:val="left"/>
      <w:pPr>
        <w:tabs>
          <w:tab w:val="num" w:pos="6860"/>
        </w:tabs>
        <w:ind w:left="6860" w:hanging="360"/>
      </w:pPr>
      <w:rPr>
        <w:rFonts w:ascii="Wingdings" w:hAnsi="Wingdings" w:hint="default"/>
      </w:rPr>
    </w:lvl>
  </w:abstractNum>
  <w:abstractNum w:abstractNumId="14">
    <w:nsid w:val="670A4338"/>
    <w:multiLevelType w:val="hybridMultilevel"/>
    <w:tmpl w:val="C25863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E352788"/>
    <w:multiLevelType w:val="hybridMultilevel"/>
    <w:tmpl w:val="1DAE05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96246E"/>
    <w:multiLevelType w:val="hybridMultilevel"/>
    <w:tmpl w:val="7D26A038"/>
    <w:lvl w:ilvl="0" w:tplc="FFFFFFFF">
      <w:start w:val="1"/>
      <w:numFmt w:val="bullet"/>
      <w:lvlText w:val=""/>
      <w:lvlJc w:val="left"/>
      <w:pPr>
        <w:tabs>
          <w:tab w:val="num" w:pos="1100"/>
        </w:tabs>
        <w:ind w:left="1100" w:hanging="360"/>
      </w:pPr>
      <w:rPr>
        <w:rFonts w:ascii="Symbol" w:hAnsi="Symbol" w:hint="default"/>
      </w:rPr>
    </w:lvl>
    <w:lvl w:ilvl="1" w:tplc="FFFFFFFF">
      <w:start w:val="1"/>
      <w:numFmt w:val="bullet"/>
      <w:lvlText w:val="o"/>
      <w:lvlJc w:val="left"/>
      <w:pPr>
        <w:tabs>
          <w:tab w:val="num" w:pos="1820"/>
        </w:tabs>
        <w:ind w:left="1820" w:hanging="360"/>
      </w:pPr>
      <w:rPr>
        <w:rFonts w:ascii="Courier New" w:hAnsi="Courier New" w:hint="default"/>
      </w:rPr>
    </w:lvl>
    <w:lvl w:ilvl="2" w:tplc="FFFFFFFF" w:tentative="1">
      <w:start w:val="1"/>
      <w:numFmt w:val="bullet"/>
      <w:lvlText w:val=""/>
      <w:lvlJc w:val="left"/>
      <w:pPr>
        <w:tabs>
          <w:tab w:val="num" w:pos="2540"/>
        </w:tabs>
        <w:ind w:left="2540" w:hanging="360"/>
      </w:pPr>
      <w:rPr>
        <w:rFonts w:ascii="Wingdings" w:hAnsi="Wingdings" w:hint="default"/>
      </w:rPr>
    </w:lvl>
    <w:lvl w:ilvl="3" w:tplc="FFFFFFFF" w:tentative="1">
      <w:start w:val="1"/>
      <w:numFmt w:val="bullet"/>
      <w:lvlText w:val=""/>
      <w:lvlJc w:val="left"/>
      <w:pPr>
        <w:tabs>
          <w:tab w:val="num" w:pos="3260"/>
        </w:tabs>
        <w:ind w:left="3260" w:hanging="360"/>
      </w:pPr>
      <w:rPr>
        <w:rFonts w:ascii="Symbol" w:hAnsi="Symbol" w:hint="default"/>
      </w:rPr>
    </w:lvl>
    <w:lvl w:ilvl="4" w:tplc="FFFFFFFF" w:tentative="1">
      <w:start w:val="1"/>
      <w:numFmt w:val="bullet"/>
      <w:lvlText w:val="o"/>
      <w:lvlJc w:val="left"/>
      <w:pPr>
        <w:tabs>
          <w:tab w:val="num" w:pos="3980"/>
        </w:tabs>
        <w:ind w:left="3980" w:hanging="360"/>
      </w:pPr>
      <w:rPr>
        <w:rFonts w:ascii="Courier New" w:hAnsi="Courier New" w:hint="default"/>
      </w:rPr>
    </w:lvl>
    <w:lvl w:ilvl="5" w:tplc="FFFFFFFF" w:tentative="1">
      <w:start w:val="1"/>
      <w:numFmt w:val="bullet"/>
      <w:lvlText w:val=""/>
      <w:lvlJc w:val="left"/>
      <w:pPr>
        <w:tabs>
          <w:tab w:val="num" w:pos="4700"/>
        </w:tabs>
        <w:ind w:left="4700" w:hanging="360"/>
      </w:pPr>
      <w:rPr>
        <w:rFonts w:ascii="Wingdings" w:hAnsi="Wingdings" w:hint="default"/>
      </w:rPr>
    </w:lvl>
    <w:lvl w:ilvl="6" w:tplc="FFFFFFFF" w:tentative="1">
      <w:start w:val="1"/>
      <w:numFmt w:val="bullet"/>
      <w:lvlText w:val=""/>
      <w:lvlJc w:val="left"/>
      <w:pPr>
        <w:tabs>
          <w:tab w:val="num" w:pos="5420"/>
        </w:tabs>
        <w:ind w:left="5420" w:hanging="360"/>
      </w:pPr>
      <w:rPr>
        <w:rFonts w:ascii="Symbol" w:hAnsi="Symbol" w:hint="default"/>
      </w:rPr>
    </w:lvl>
    <w:lvl w:ilvl="7" w:tplc="FFFFFFFF" w:tentative="1">
      <w:start w:val="1"/>
      <w:numFmt w:val="bullet"/>
      <w:lvlText w:val="o"/>
      <w:lvlJc w:val="left"/>
      <w:pPr>
        <w:tabs>
          <w:tab w:val="num" w:pos="6140"/>
        </w:tabs>
        <w:ind w:left="6140" w:hanging="360"/>
      </w:pPr>
      <w:rPr>
        <w:rFonts w:ascii="Courier New" w:hAnsi="Courier New" w:hint="default"/>
      </w:rPr>
    </w:lvl>
    <w:lvl w:ilvl="8" w:tplc="FFFFFFFF" w:tentative="1">
      <w:start w:val="1"/>
      <w:numFmt w:val="bullet"/>
      <w:lvlText w:val=""/>
      <w:lvlJc w:val="left"/>
      <w:pPr>
        <w:tabs>
          <w:tab w:val="num" w:pos="6860"/>
        </w:tabs>
        <w:ind w:left="6860" w:hanging="360"/>
      </w:pPr>
      <w:rPr>
        <w:rFonts w:ascii="Wingdings" w:hAnsi="Wingdings" w:hint="default"/>
      </w:rPr>
    </w:lvl>
  </w:abstractNum>
  <w:abstractNum w:abstractNumId="17">
    <w:nsid w:val="76B5416F"/>
    <w:multiLevelType w:val="hybridMultilevel"/>
    <w:tmpl w:val="E7B48EB4"/>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abstractNumId w:val="11"/>
  </w:num>
  <w:num w:numId="2">
    <w:abstractNumId w:val="16"/>
  </w:num>
  <w:num w:numId="3">
    <w:abstractNumId w:val="4"/>
  </w:num>
  <w:num w:numId="4">
    <w:abstractNumId w:val="13"/>
  </w:num>
  <w:num w:numId="5">
    <w:abstractNumId w:val="8"/>
  </w:num>
  <w:num w:numId="6">
    <w:abstractNumId w:val="2"/>
  </w:num>
  <w:num w:numId="7">
    <w:abstractNumId w:val="3"/>
  </w:num>
  <w:num w:numId="8">
    <w:abstractNumId w:val="9"/>
  </w:num>
  <w:num w:numId="9">
    <w:abstractNumId w:val="14"/>
  </w:num>
  <w:num w:numId="10">
    <w:abstractNumId w:val="0"/>
  </w:num>
  <w:num w:numId="11">
    <w:abstractNumId w:val="17"/>
  </w:num>
  <w:num w:numId="12">
    <w:abstractNumId w:val="5"/>
  </w:num>
  <w:num w:numId="13">
    <w:abstractNumId w:val="1"/>
  </w:num>
  <w:num w:numId="14">
    <w:abstractNumId w:val="6"/>
  </w:num>
  <w:num w:numId="15">
    <w:abstractNumId w:val="7"/>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517CB"/>
    <w:rsid w:val="001D1F30"/>
    <w:rsid w:val="00256CDD"/>
    <w:rsid w:val="00260CA7"/>
    <w:rsid w:val="00294248"/>
    <w:rsid w:val="003440D2"/>
    <w:rsid w:val="004743C4"/>
    <w:rsid w:val="004D4251"/>
    <w:rsid w:val="00526342"/>
    <w:rsid w:val="00532E23"/>
    <w:rsid w:val="006970B5"/>
    <w:rsid w:val="006D0794"/>
    <w:rsid w:val="006E4958"/>
    <w:rsid w:val="00772251"/>
    <w:rsid w:val="007D04AE"/>
    <w:rsid w:val="008047FA"/>
    <w:rsid w:val="008A3986"/>
    <w:rsid w:val="009517CB"/>
    <w:rsid w:val="00967C0E"/>
    <w:rsid w:val="00A615DD"/>
    <w:rsid w:val="00A85261"/>
    <w:rsid w:val="00A9064E"/>
    <w:rsid w:val="00AE64FA"/>
    <w:rsid w:val="00AF18D3"/>
    <w:rsid w:val="00B1291D"/>
    <w:rsid w:val="00C31CEE"/>
    <w:rsid w:val="00D22DA7"/>
    <w:rsid w:val="00D32D54"/>
    <w:rsid w:val="00EC1176"/>
    <w:rsid w:val="00EF5E8D"/>
    <w:rsid w:val="00F10A88"/>
    <w:rsid w:val="00F1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550143-B4A5-46CC-8083-4D547951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rFonts w:ascii="Garamond" w:hAnsi="Garamond"/>
    </w:rPr>
  </w:style>
  <w:style w:type="paragraph" w:styleId="Heading1">
    <w:name w:val="heading 1"/>
    <w:basedOn w:val="Normal"/>
    <w:next w:val="Normal"/>
    <w:link w:val="Heading1Char"/>
    <w:autoRedefine/>
    <w:uiPriority w:val="9"/>
    <w:qFormat/>
    <w:pPr>
      <w:keepNext/>
      <w:pBdr>
        <w:bottom w:val="single" w:sz="4" w:space="3" w:color="auto"/>
      </w:pBdr>
      <w:spacing w:before="360" w:after="60" w:line="240" w:lineRule="auto"/>
      <w:outlineLvl w:val="0"/>
    </w:pPr>
    <w:rPr>
      <w:b/>
      <w:bCs/>
      <w:smallCaps/>
      <w:sz w:val="24"/>
      <w:szCs w:val="32"/>
    </w:rPr>
  </w:style>
  <w:style w:type="paragraph" w:styleId="Heading2">
    <w:name w:val="heading 2"/>
    <w:basedOn w:val="Normal"/>
    <w:next w:val="BodyText"/>
    <w:autoRedefine/>
    <w:qFormat/>
    <w:pPr>
      <w:keepNext/>
      <w:spacing w:before="240" w:after="120"/>
      <w:outlineLvl w:val="1"/>
    </w:pPr>
    <w:rPr>
      <w:b/>
      <w:bCs/>
      <w:sz w:val="24"/>
      <w:szCs w:val="28"/>
    </w:rPr>
  </w:style>
  <w:style w:type="paragraph" w:styleId="Heading3">
    <w:name w:val="heading 3"/>
    <w:basedOn w:val="Normal"/>
    <w:next w:val="BodyTextIndent2"/>
    <w:autoRedefine/>
    <w:qFormat/>
    <w:pPr>
      <w:keepNext/>
      <w:spacing w:before="240" w:after="60"/>
      <w:ind w:left="360"/>
      <w:outlineLvl w:val="2"/>
    </w:pPr>
    <w:rPr>
      <w:b/>
      <w:bCs/>
      <w:sz w:val="22"/>
      <w:szCs w:val="26"/>
    </w:rPr>
  </w:style>
  <w:style w:type="paragraph" w:styleId="Heading4">
    <w:name w:val="heading 4"/>
    <w:basedOn w:val="Normal"/>
    <w:next w:val="Normal"/>
    <w:autoRedefine/>
    <w:qFormat/>
    <w:pPr>
      <w:ind w:left="720"/>
      <w:outlineLvl w:val="3"/>
    </w:pPr>
    <w:rPr>
      <w:b/>
      <w:bCs/>
      <w:szCs w:val="28"/>
    </w:rPr>
  </w:style>
  <w:style w:type="paragraph" w:styleId="Heading5">
    <w:name w:val="heading 5"/>
    <w:basedOn w:val="Normal"/>
    <w:next w:val="Normal"/>
    <w:autoRedefine/>
    <w:qFormat/>
    <w:pPr>
      <w:outlineLvl w:val="4"/>
    </w:pPr>
    <w:rPr>
      <w:bCs/>
    </w:rPr>
  </w:style>
  <w:style w:type="paragraph" w:styleId="Heading6">
    <w:name w:val="heading 6"/>
    <w:basedOn w:val="Normal"/>
    <w:next w:val="Normal"/>
    <w:autoRedefine/>
    <w:qFormat/>
    <w:pPr>
      <w:keepNext/>
      <w:outlineLvl w:val="5"/>
    </w:pPr>
    <w:rPr>
      <w:bCs/>
    </w:rPr>
  </w:style>
  <w:style w:type="paragraph" w:styleId="Heading7">
    <w:name w:val="heading 7"/>
    <w:basedOn w:val="Normal"/>
    <w:next w:val="Normal"/>
    <w:autoRedefine/>
    <w:qFormat/>
    <w:p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next w:val="BodyText"/>
    <w:autoRedefine/>
    <w:pPr>
      <w:tabs>
        <w:tab w:val="right" w:pos="8640"/>
      </w:tabs>
      <w:ind w:left="0"/>
    </w:pPr>
    <w:rPr>
      <w:sz w:val="16"/>
    </w:rPr>
  </w:style>
  <w:style w:type="character" w:styleId="Hyperlink">
    <w:name w:val="Hyperlink"/>
    <w:basedOn w:val="DefaultParagraphFont"/>
    <w:uiPriority w:val="99"/>
    <w:rPr>
      <w:color w:val="FF0000"/>
      <w:u w:val="single"/>
    </w:rPr>
  </w:style>
  <w:style w:type="paragraph" w:customStyle="1" w:styleId="BodyTextIndent2">
    <w:name w:val="Body Text (Indent 2)"/>
    <w:basedOn w:val="BodyText"/>
    <w:pPr>
      <w:ind w:left="720"/>
    </w:pPr>
  </w:style>
  <w:style w:type="paragraph" w:styleId="BodyText">
    <w:name w:val="Body Text"/>
    <w:basedOn w:val="Normal"/>
    <w:pPr>
      <w:ind w:left="360"/>
    </w:pPr>
  </w:style>
  <w:style w:type="paragraph" w:styleId="Footer">
    <w:name w:val="footer"/>
    <w:basedOn w:val="Normal"/>
    <w:pPr>
      <w:tabs>
        <w:tab w:val="center" w:pos="4320"/>
        <w:tab w:val="right" w:pos="8640"/>
      </w:tabs>
    </w:pPr>
  </w:style>
  <w:style w:type="table" w:styleId="TableGrid">
    <w:name w:val="Table Grid"/>
    <w:basedOn w:val="TableNormal"/>
    <w:rsid w:val="00272F63"/>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Hyperlink"/>
    <w:rPr>
      <w:color w:val="808080"/>
      <w:u w:val="single"/>
    </w:rPr>
  </w:style>
  <w:style w:type="paragraph" w:customStyle="1" w:styleId="DocumentTitle">
    <w:name w:val="Document Title"/>
    <w:basedOn w:val="Heading1"/>
    <w:next w:val="BodyText"/>
  </w:style>
  <w:style w:type="paragraph" w:customStyle="1" w:styleId="CodeSample">
    <w:name w:val="Code Sample"/>
    <w:basedOn w:val="BodyTextIndent2"/>
    <w:rsid w:val="00AF12EF"/>
    <w:pPr>
      <w:pBdr>
        <w:top w:val="single" w:sz="4" w:space="10" w:color="auto"/>
        <w:left w:val="single" w:sz="4" w:space="10" w:color="auto"/>
        <w:bottom w:val="single" w:sz="4" w:space="10" w:color="auto"/>
        <w:right w:val="single" w:sz="4" w:space="10" w:color="auto"/>
      </w:pBdr>
      <w:shd w:val="clear" w:color="auto" w:fill="F3F3F3"/>
      <w:ind w:left="1440"/>
    </w:pPr>
    <w:rPr>
      <w:rFonts w:ascii="Courier New" w:hAnsi="Courier New"/>
      <w:sz w:val="16"/>
    </w:rPr>
  </w:style>
  <w:style w:type="paragraph" w:styleId="TOC1">
    <w:name w:val="toc 1"/>
    <w:basedOn w:val="Normal"/>
    <w:next w:val="Normal"/>
    <w:autoRedefine/>
    <w:uiPriority w:val="39"/>
    <w:rsid w:val="00520ED3"/>
  </w:style>
  <w:style w:type="paragraph" w:styleId="TOC2">
    <w:name w:val="toc 2"/>
    <w:basedOn w:val="Normal"/>
    <w:next w:val="Normal"/>
    <w:autoRedefine/>
    <w:uiPriority w:val="39"/>
    <w:rsid w:val="00520ED3"/>
    <w:pPr>
      <w:ind w:left="200"/>
    </w:pPr>
  </w:style>
  <w:style w:type="paragraph" w:styleId="TOC3">
    <w:name w:val="toc 3"/>
    <w:basedOn w:val="Normal"/>
    <w:next w:val="Normal"/>
    <w:autoRedefine/>
    <w:semiHidden/>
    <w:rsid w:val="00520ED3"/>
    <w:pPr>
      <w:ind w:left="400"/>
    </w:pPr>
  </w:style>
  <w:style w:type="character" w:customStyle="1" w:styleId="Heading1Char">
    <w:name w:val="Heading 1 Char"/>
    <w:basedOn w:val="DefaultParagraphFont"/>
    <w:link w:val="Heading1"/>
    <w:uiPriority w:val="9"/>
    <w:rsid w:val="006D0794"/>
    <w:rPr>
      <w:rFonts w:ascii="Garamond" w:hAnsi="Garamond"/>
      <w:b/>
      <w:bCs/>
      <w:smallCaps/>
      <w:sz w:val="24"/>
      <w:szCs w:val="32"/>
    </w:rPr>
  </w:style>
  <w:style w:type="paragraph" w:styleId="Bibliography">
    <w:name w:val="Bibliography"/>
    <w:basedOn w:val="Normal"/>
    <w:next w:val="Normal"/>
    <w:uiPriority w:val="37"/>
    <w:unhideWhenUsed/>
    <w:rsid w:val="006D0794"/>
  </w:style>
  <w:style w:type="character" w:customStyle="1" w:styleId="codefragment">
    <w:name w:val="codefragment"/>
    <w:basedOn w:val="DefaultParagraphFont"/>
    <w:rsid w:val="00D32D54"/>
  </w:style>
  <w:style w:type="paragraph" w:styleId="FootnoteText">
    <w:name w:val="footnote text"/>
    <w:basedOn w:val="Normal"/>
    <w:link w:val="FootnoteTextChar"/>
    <w:uiPriority w:val="99"/>
    <w:semiHidden/>
    <w:unhideWhenUsed/>
    <w:rsid w:val="00D32D54"/>
  </w:style>
  <w:style w:type="character" w:customStyle="1" w:styleId="FootnoteTextChar">
    <w:name w:val="Footnote Text Char"/>
    <w:basedOn w:val="DefaultParagraphFont"/>
    <w:link w:val="FootnoteText"/>
    <w:uiPriority w:val="99"/>
    <w:semiHidden/>
    <w:rsid w:val="00D32D54"/>
    <w:rPr>
      <w:rFonts w:ascii="Garamond" w:hAnsi="Garamond"/>
    </w:rPr>
  </w:style>
  <w:style w:type="character" w:styleId="FootnoteReference">
    <w:name w:val="footnote reference"/>
    <w:basedOn w:val="DefaultParagraphFont"/>
    <w:uiPriority w:val="99"/>
    <w:semiHidden/>
    <w:unhideWhenUsed/>
    <w:rsid w:val="00D32D54"/>
    <w:rPr>
      <w:vertAlign w:val="superscript"/>
    </w:rPr>
  </w:style>
  <w:style w:type="paragraph" w:styleId="BalloonText">
    <w:name w:val="Balloon Text"/>
    <w:basedOn w:val="Normal"/>
    <w:link w:val="BalloonTextChar"/>
    <w:uiPriority w:val="99"/>
    <w:semiHidden/>
    <w:unhideWhenUsed/>
    <w:rsid w:val="007722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58612">
      <w:bodyDiv w:val="1"/>
      <w:marLeft w:val="0"/>
      <w:marRight w:val="0"/>
      <w:marTop w:val="0"/>
      <w:marBottom w:val="0"/>
      <w:divBdr>
        <w:top w:val="none" w:sz="0" w:space="0" w:color="auto"/>
        <w:left w:val="none" w:sz="0" w:space="0" w:color="auto"/>
        <w:bottom w:val="none" w:sz="0" w:space="0" w:color="auto"/>
        <w:right w:val="none" w:sz="0" w:space="0" w:color="auto"/>
      </w:divBdr>
      <w:divsChild>
        <w:div w:id="116265009">
          <w:marLeft w:val="0"/>
          <w:marRight w:val="0"/>
          <w:marTop w:val="0"/>
          <w:marBottom w:val="0"/>
          <w:divBdr>
            <w:top w:val="none" w:sz="0" w:space="0" w:color="auto"/>
            <w:left w:val="none" w:sz="0" w:space="0" w:color="auto"/>
            <w:bottom w:val="none" w:sz="0" w:space="0" w:color="auto"/>
            <w:right w:val="none" w:sz="0" w:space="0" w:color="auto"/>
          </w:divBdr>
          <w:divsChild>
            <w:div w:id="2133093053">
              <w:marLeft w:val="0"/>
              <w:marRight w:val="0"/>
              <w:marTop w:val="0"/>
              <w:marBottom w:val="0"/>
              <w:divBdr>
                <w:top w:val="none" w:sz="0" w:space="0" w:color="auto"/>
                <w:left w:val="none" w:sz="0" w:space="0" w:color="auto"/>
                <w:bottom w:val="none" w:sz="0" w:space="0" w:color="auto"/>
                <w:right w:val="none" w:sz="0" w:space="0" w:color="auto"/>
              </w:divBdr>
              <w:divsChild>
                <w:div w:id="1632831995">
                  <w:marLeft w:val="0"/>
                  <w:marRight w:val="0"/>
                  <w:marTop w:val="0"/>
                  <w:marBottom w:val="0"/>
                  <w:divBdr>
                    <w:top w:val="none" w:sz="0" w:space="0" w:color="auto"/>
                    <w:left w:val="none" w:sz="0" w:space="0" w:color="auto"/>
                    <w:bottom w:val="none" w:sz="0" w:space="0" w:color="auto"/>
                    <w:right w:val="none" w:sz="0" w:space="0" w:color="auto"/>
                  </w:divBdr>
                  <w:divsChild>
                    <w:div w:id="1654799236">
                      <w:marLeft w:val="0"/>
                      <w:marRight w:val="0"/>
                      <w:marTop w:val="0"/>
                      <w:marBottom w:val="0"/>
                      <w:divBdr>
                        <w:top w:val="none" w:sz="0" w:space="0" w:color="auto"/>
                        <w:left w:val="none" w:sz="0" w:space="0" w:color="auto"/>
                        <w:bottom w:val="none" w:sz="0" w:space="0" w:color="auto"/>
                        <w:right w:val="none" w:sz="0" w:space="0" w:color="auto"/>
                      </w:divBdr>
                      <w:divsChild>
                        <w:div w:id="871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help://MS.NETFramework.v20.en/dv_fxdesignguide/html/418b3cb8-c26a-44f8-85da-acc5b8135edd.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joelonsoftware.com/articles/Wro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remy\Desktop\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Document.dot</Template>
  <TotalTime>4211</TotalTime>
  <Pages>8</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Style and Design Guidelines</vt:lpstr>
    </vt:vector>
  </TitlesOfParts>
  <Company>Ignia, LLC</Company>
  <LinksUpToDate>false</LinksUpToDate>
  <CharactersWithSpaces>17365</CharactersWithSpaces>
  <SharedDoc>false</SharedDoc>
  <HLinks>
    <vt:vector size="42" baseType="variant">
      <vt:variant>
        <vt:i4>5963822</vt:i4>
      </vt:variant>
      <vt:variant>
        <vt:i4>96</vt:i4>
      </vt:variant>
      <vt:variant>
        <vt:i4>0</vt:i4>
      </vt:variant>
      <vt:variant>
        <vt:i4>5</vt:i4>
      </vt:variant>
      <vt:variant>
        <vt:lpwstr>http://www.dotnetjunkies.com/QuickStart/howto/default.aspx?url=/quickstart/howto/doc/languages.aspx</vt:lpwstr>
      </vt:variant>
      <vt:variant>
        <vt:lpwstr/>
      </vt:variant>
      <vt:variant>
        <vt:i4>5046293</vt:i4>
      </vt:variant>
      <vt:variant>
        <vt:i4>93</vt:i4>
      </vt:variant>
      <vt:variant>
        <vt:i4>0</vt:i4>
      </vt:variant>
      <vt:variant>
        <vt:i4>5</vt:i4>
      </vt:variant>
      <vt:variant>
        <vt:lpwstr>ms-help://MS.NETFramework.v20.en/dv_fxdesignguide/html/ee33f9de-3a93-4789-bf48-34aa72955e80.htm</vt:lpwstr>
      </vt:variant>
      <vt:variant>
        <vt:lpwstr/>
      </vt:variant>
      <vt:variant>
        <vt:i4>1179713</vt:i4>
      </vt:variant>
      <vt:variant>
        <vt:i4>90</vt:i4>
      </vt:variant>
      <vt:variant>
        <vt:i4>0</vt:i4>
      </vt:variant>
      <vt:variant>
        <vt:i4>5</vt:i4>
      </vt:variant>
      <vt:variant>
        <vt:lpwstr>ms-help://MS.NETFramework.v20.en/dv_fxdesignguide/html/6eb66eac-4524-4292-a644-31845bb14f46.htm</vt:lpwstr>
      </vt:variant>
      <vt:variant>
        <vt:lpwstr/>
      </vt:variant>
      <vt:variant>
        <vt:i4>1441856</vt:i4>
      </vt:variant>
      <vt:variant>
        <vt:i4>87</vt:i4>
      </vt:variant>
      <vt:variant>
        <vt:i4>0</vt:i4>
      </vt:variant>
      <vt:variant>
        <vt:i4>5</vt:i4>
      </vt:variant>
      <vt:variant>
        <vt:lpwstr>ms-help://MS.NETFramework.v20.en/dv_fxdesignguide/html/20e6cc07-8edf-4d0f-9bda-5c465f34f41f.htm</vt:lpwstr>
      </vt:variant>
      <vt:variant>
        <vt:lpwstr/>
      </vt:variant>
      <vt:variant>
        <vt:i4>6225973</vt:i4>
      </vt:variant>
      <vt:variant>
        <vt:i4>84</vt:i4>
      </vt:variant>
      <vt:variant>
        <vt:i4>0</vt:i4>
      </vt:variant>
      <vt:variant>
        <vt:i4>5</vt:i4>
      </vt:variant>
      <vt:variant>
        <vt:lpwstr>class%20library%20design%20guidelines%20%255b.NET%20Framework%255d,%20about%20class%20library%20design%20guidelines</vt:lpwstr>
      </vt:variant>
      <vt:variant>
        <vt:lpwstr/>
      </vt:variant>
      <vt:variant>
        <vt:i4>4390936</vt:i4>
      </vt:variant>
      <vt:variant>
        <vt:i4>3</vt:i4>
      </vt:variant>
      <vt:variant>
        <vt:i4>0</vt:i4>
      </vt:variant>
      <vt:variant>
        <vt:i4>5</vt:i4>
      </vt:variant>
      <vt:variant>
        <vt:lpwstr>ms-help://MS.NETFramework.v20.en/dv_fxdesignguide/html/418b3cb8-c26a-44f8-85da-acc5b8135edd.htm</vt:lpwstr>
      </vt:variant>
      <vt:variant>
        <vt:lpwstr/>
      </vt:variant>
      <vt:variant>
        <vt:i4>2490417</vt:i4>
      </vt:variant>
      <vt:variant>
        <vt:i4>1536</vt:i4>
      </vt:variant>
      <vt:variant>
        <vt:i4>1025</vt:i4>
      </vt:variant>
      <vt:variant>
        <vt:i4>1</vt:i4>
      </vt:variant>
      <vt:variant>
        <vt:lpwstr>logo-1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Style and Design Guidelines</dc:title>
  <dc:creator>Jeremy Caney</dc:creator>
  <cp:lastModifiedBy>Katherine T</cp:lastModifiedBy>
  <cp:revision>11</cp:revision>
  <cp:lastPrinted>2000-08-18T03:54:00Z</cp:lastPrinted>
  <dcterms:created xsi:type="dcterms:W3CDTF">2007-07-17T00:41:00Z</dcterms:created>
  <dcterms:modified xsi:type="dcterms:W3CDTF">2015-04-06T21:52:00Z</dcterms:modified>
</cp:coreProperties>
</file>