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2A3BE"/>
          <w:sz w:val="30"/>
          <w:szCs w:val="30"/>
        </w:rPr>
        <w:t xml:space="preserve">JIKONI</w:t>
      </w:r>
      <w:r>
        <w:rPr>
          <w:rFonts w:ascii="Calibri" w:cs="Calibri" w:eastAsia="Calibri" w:hAnsi="Calibri"/>
          <w:color w:val="646C77"/>
          <w:sz w:val="19"/>
          <w:szCs w:val="19"/>
        </w:rPr>
        <w:t xml:space="preserve">   ·   CleanCookIQ · Ignis</w:t>
      </w:r>
    </w:p>
    <w:p>
      <w:pPr>
        <w:pBdr>
          <w:bottom w:val="single" w:color="E07C2A" w:sz="18"/>
        </w:pBdr>
        <w:spacing w:after="0" w:before="60"/>
      </w:pPr>
    </w:p>
    <w:p>
      <w:pPr>
        <w:spacing w:after="0" w:before="280"/>
      </w:pPr>
      <w:r>
        <w:rPr>
          <w:rFonts w:ascii="Calibri" w:cs="Calibri" w:eastAsia="Calibri" w:hAnsi="Calibri"/>
          <w:b/>
          <w:bCs/>
          <w:color w:val="22262E"/>
          <w:sz w:val="46"/>
          <w:szCs w:val="46"/>
        </w:rPr>
        <w:t xml:space="preserve">Module Documentation</w:t>
      </w:r>
    </w:p>
    <w:p>
      <w:pPr>
        <w:spacing w:after="230" w:before="40"/>
      </w:pPr>
      <w:r>
        <w:rPr>
          <w:rFonts w:ascii="Calibri" w:cs="Calibri" w:eastAsia="Calibri" w:hAnsi="Calibri"/>
          <w:color w:val="E07C2A"/>
          <w:sz w:val="23"/>
          <w:szCs w:val="23"/>
        </w:rPr>
        <w:t xml:space="preserve">Functional reference — what each module and sub-feature does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Prepared for  </w:t>
      </w:r>
      <w:r>
        <w:rPr>
          <w:rFonts w:ascii="Calibri" w:cs="Calibri" w:eastAsia="Calibri" w:hAnsi="Calibri"/>
          <w:color w:val="22262E"/>
          <w:sz w:val="21"/>
          <w:szCs w:val="21"/>
        </w:rPr>
        <w:t xml:space="preserve">Brian (Platform / Tech) and the build team; Dennis (MD)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Prepared by  </w:t>
      </w:r>
      <w:r>
        <w:rPr>
          <w:rFonts w:ascii="Calibri" w:cs="Calibri" w:eastAsia="Calibri" w:hAnsi="Calibri"/>
          <w:color w:val="22262E"/>
          <w:sz w:val="21"/>
          <w:szCs w:val="21"/>
        </w:rPr>
        <w:t xml:space="preserve">Joan Wanjiku, Operations</w:t>
      </w:r>
    </w:p>
    <w:p>
      <w:pPr>
        <w:spacing w:after="60" w:before="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Companion to  </w:t>
      </w:r>
      <w:r>
        <w:rPr>
          <w:rFonts w:ascii="Calibri" w:cs="Calibri" w:eastAsia="Calibri" w:hAnsi="Calibri"/>
          <w:color w:val="22262E"/>
          <w:sz w:val="21"/>
          <w:szCs w:val="21"/>
        </w:rPr>
        <w:t xml:space="preserve">the Workflows &amp; SOPs guide. This document answers what each module is; that one answers how the processes flow and how to build them. Each module below points to the workflows it takes part in.</w:t>
      </w:r>
    </w:p>
    <w:p>
      <w:pPr>
        <w:pBdr>
          <w:bottom w:val="single" w:color="E4E7EB" w:sz="10"/>
        </w:pBdr>
        <w:spacing w:after="200" w:before="20"/>
      </w:pP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How Jikoni is organised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Jikoni is Ignis's internal operating system — one place for finance, procurement, inventory, people, partnerships, projects, the raise and governance. The modules are not separate apps; they share one foundation and read from one another.</w:t>
      </w:r>
    </w:p>
    <w:p>
      <w:pPr>
        <w:spacing w:after="6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The full treatment of that foundation — one source of truth, records-with-states, role-based access and segregation of duties, the audit log, and document-driven chains — is in Part A of the Workflows &amp; SOPs guide, and is not repeated here.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How to read this document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The left sidebar lists the modules; a module expands to reveal its sub-features, and a breadcrumb shows where you are. Each sub-feature is its own focused screen; lists open a record in a side drawer. Below, each module gives its sub-features and what they do, the records it opens, and — in the tinted box — the workflows it takes part in, keyed to the SOP guide (B1, B4, and so on).</w:t>
      </w: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Finance &amp; Accounting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One chart of accounts across the business, Kenya and Uganda held separately and consolidated on demand. It runs the full ledger and the day-to-day money workflows; every figure it produces reads the same everywhere else in Jikoni.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Overview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Position at a glance — cash, payables, receivables, runway, approvals — with an income-statement snapshot and expense/revenue charts.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General Ledger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Chart of accounts, journal entries, trial balance and period close.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Payables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Supplier invoices captured against POs, three-way match and payables aging.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Receivables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eTIMS sales invoices, receipts/collection, debtor aging and dunning.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Bank &amp; Cash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Bank and mobile-money accounts, reconciliation, and a cash forecast.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Petty Cash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Floats by custodian, coded receipt-backed vouchers, reconciliation and replenishment.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Budgets &amp; Costing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Budget vs actual by cost centre, and project accounting on shared project codes.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Reporting &amp; Compliance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P&amp;L, balance sheet, cash flow, trial balance; VAT/eTIMS, withholding, Housing Levy; multi-currency; IFRS-for-SMEs.</w:t>
            </w:r>
          </w:p>
        </w:tc>
      </w:tr>
    </w:tbl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B1 Procure-to-Pay (payables, three-way match, GL posting) · B3 Order-to-Cash (receivables) · B4 Payroll → GL (the journal lands here) · B7 Inventory (asset depreciation posts here). See the Workflows &amp; SOPs guide.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Procurement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Procure-to-pay on one connected chain: each document authorises the next, so nothing is ordered without an approved requisition and nothing is paid without a matched goods-received note.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Overview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Spend by category and trend, the procure-to-pay chain, and exceptions holding payment.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Vendors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Registry with tax-compliance status, sanctions screening and performance ratings.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Requisitions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Purchase requisitions with live budget check and approval routing.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PO lifecycle — open, partially received, closed — raised only from an approved requisition.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Goods Received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Goods-received / delivery notes against a PO, with partial deliveries and photo evidence.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Sourcing / RFQ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Quote comparison with scoring and a documented award recommendation.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Contracts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Framework agreements at agreed rates, linked to the contract registry.</w:t>
            </w:r>
          </w:p>
        </w:tc>
      </w:tr>
    </w:tbl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Records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A vendor — or any of its contracts — opens the vendor record: relationship history, contracts and every document shared (certificates, the signed contract, and the linked POs, GRNs and invoices).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Ignis-specific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Sanctions screening is a hard gate before award, per Procurement Manual IGN-PROC-001. Grant-funded buys must also satisfy the donor's own procurement rules.</w:t>
      </w:r>
    </w:p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B1 Procure-to-Pay · B2 Raise a Requisition · B8 Vendor Onboarding &amp; Sanctions Screening. See the Workflows &amp; SOPs guide.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Inventory Management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The bridge between buying and deploying — stock of cookstoves, spares and sensors from goods-received to dispatch, held by item and location, with reorder tied back to procurement.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Overview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Stock value, low-stock alerts, in-transit and dispatched counts, and a movements trend.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Stock Items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Item catalogue with on-hand quantity, reorder point and valuation.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Locations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Stock across the central store and the county hubs.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Stock Movements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Receipts, issues, transfers and adjustments — the movement ledger.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Dispatch &amp; Deployment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Units issued out to sites, linked to the project and deployment record.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Reorder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Items below their reorder point, each able to raise a pre-filled requisition.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Asset Register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Capitalised assets with net book value; depreciation posts to the GL.</w:t>
            </w:r>
          </w:p>
        </w:tc>
      </w:tr>
    </w:tbl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Records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An item opens its record: stock by location, recent movements, reorder status and a link to its supplier.</w:t>
      </w:r>
    </w:p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B7 Inventory: Receive → Dispatch → Reorder; reorder feeds B1/B2 (a requisition). See the Workflows &amp; SOPs guide.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Human Resources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Staff files, leave, payroll, recruitment and the field workforce in one module, with statutory IDs and documents versioned and access-controlled on every record.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Overview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Headcount, the HR to-do list, and workforce-composition charts.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Staff Files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Employee registry with contracts, statutory IDs (KRA PIN, NSSF, SHIF) and versioned documents.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Leave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Application-to-approval workflow, balances and the leave-type policy.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Payroll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Statutory computation (PAYE, NSSF, SHIF, Housing Levy) and the payslip run; posts the journal to the GL.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Requisitions, an applicant pipeline scored against a rubric, and onboarding checklists.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Field Workforce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Enumerator rosters by county, per-diem workflows and short-term / casual contracts.</w:t>
            </w:r>
          </w:p>
        </w:tc>
      </w:tr>
    </w:tbl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Ignis-specific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The field workforce — enumerators, install crews and short-term staff on per-diems — is a first-class part of the module, not an edge case.</w:t>
      </w:r>
    </w:p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B4 Payroll → GL · B9 Access Provisioning (onboarding creates the account, offboarding revokes it). See the Workflows &amp; SOPs guide.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Staff Portal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The self-service view every employee sees of themselves — pay, leave and documents — which keeps routine HR requests out of email.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This month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Next payday, leave balance and the tasks assigned to the employee.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My leave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Balances by type, an application form, and request history.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My payslips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Monthly payslips to view and download.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My documents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The employee's own personal file — contract, IDs, certificates — with upload.</w:t>
            </w:r>
          </w:p>
        </w:tc>
      </w:tr>
    </w:tbl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Ignis-specific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An employee sees only their own file; HR can view it; no one else can unless a super admin grants access.</w:t>
      </w:r>
    </w:p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Surfaces B4 (payslips) and the leave process to the employee; strictly self-scoped by the B9 access rule. See the Workflows &amp; SOPs guide.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Partnerships CRM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One engagement engine, two views — upstream capital and downstream deployment on the same model — so the whole relationship book is answerable in one place.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Overview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Engagements by relationship type, upstream and downstream funnels, and needs-attention.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Engagements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The dual-pipeline engine with a per-engagement updates log and action items.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Partners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The partner registry, typed by relationship.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Institution Pipeline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Downstream institutions by county, tier and EOI stage.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RFPs, funding calls and windows, linked to the engagement pursuing them.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Pipeline conversion and velocity; capital committed against target.</w:t>
            </w:r>
          </w:p>
        </w:tc>
      </w:tr>
    </w:tbl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Records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An engagement opens its record: status and next action, the updates log, action items, documents, and links to the linked project or Fundraise.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Ignis-specific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The dual-pipeline-on-one-engine design is deliberate — two very different motions (raising capital, deploying stoves) sharing one engagement model and two lenses.</w:t>
      </w:r>
    </w:p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B5 Engagement → Won Deal → Project; upstream funders feed B6 Fundraise. See the Workflows &amp; SOPs guide.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Projects &amp; Programmes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Every funded project and deployment on one project code — budget, milestones, deliverables, drawdowns and field activity — so project profitability and grant compliance live in the system.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Overview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Portfolio budget and burn charts, and items needing attention across projects.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Projects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The project registry — funder, budget, spend and status.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Budgets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Budget vs actual by project, with portfolio variance and forecast.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Milestones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Milestones and deliverables by due date.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Grants &amp; Drawdowns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Grant register, drawdown tranches and the funder reporting calendar.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Field Activity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Site visits, installations and readiness assessments; carries the field evidence.</w:t>
            </w:r>
          </w:p>
        </w:tc>
      </w:tr>
    </w:tbl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Records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A project opens its record: funder, timeline and team, budget vs spent, the milestone sequence, drawdowns, reporting cadence, documents and the originating engagement.</w:t>
      </w:r>
    </w:p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B5 Engagement → Won Deal → Project (created here); consumes costs from B1 and dispatch from B7. See the Workflows &amp; SOPs guide.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Fundraise &amp; Diligence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Where the $3M raise stands, funder by funder — pipeline, term sheets, the data room and diligence — with the committed total always live against target.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Overview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Progress-to-target meter, pipeline-by-stage funnel, and raise/diligence needs-attention.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Raise Pipeline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Funders by stage with instrument, indicative amount and probability.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Term Sheets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Term-sheet tracker: received → negotiating → signed.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Data Room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Diligence documents by category and per-funder access.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Diligence Requests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Inbound diligence questions with owner and status.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Close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Closing checklist and use of funds.</w:t>
            </w:r>
          </w:p>
        </w:tc>
      </w:tr>
    </w:tbl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Records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A funder opens its deal record: instrument, amount, probability, term-sheet and diligence status, documents, and a link to the CRM engagement.</w:t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Ignis-specific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Signing a term sheet records the commitment and moves the committed total against the $3M target, split equity vs concessional.</w:t>
      </w:r>
    </w:p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B6 Fundraise: Term Sheet → Commitment; data-room access is B9-style access control. See the Workflows &amp; SOPs guide.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Compliance &amp; Governance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The single home for policies and manuals, statutory documents, the compliance calendar and the risk register — the material an auditor or diligence reviewer asks for first.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Policies &amp; Manuals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The versioned policy and manual library, with owner and version (e.g. IGN-PROC-001).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Company Documents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Statutory documents — incorporation, KRA PIN, Tax Compliance Certificate, CR12, permits — with expiry flags.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Compliance Calendar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Upcoming statutory obligations and their due dates.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Risks with owner, severity and mitigation.</w:t>
            </w:r>
          </w:p>
        </w:tc>
      </w:tr>
    </w:tbl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Holds the contract registry used by B1/B8 and the statutory calendar used by B4; access is governed by B9. See the Workflows &amp; SOPs guide.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22262E"/>
          <w:sz w:val="30"/>
          <w:szCs w:val="30"/>
        </w:rPr>
        <w:t xml:space="preserve">User Management (Access &amp; Audit)</w:t>
      </w:r>
    </w:p>
    <w:p>
      <w:pPr>
        <w:pBdr>
          <w:bottom w:val="single" w:color="E07C2A" w:sz="14"/>
        </w:pBdr>
        <w:spacing w:after="0" w:before="20"/>
      </w:pPr>
    </w:p>
    <w:p>
      <w:pPr>
        <w:spacing w:after="60" w:before="17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Who can see and do what, granted per person and per module by a super admin — and the append-only record of everything done. This module underpins the controls in every other one.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aps/>
          <w:color w:val="646C77"/>
          <w:sz w:val="18"/>
          <w:szCs w:val="18"/>
        </w:rPr>
        <w:t xml:space="preserve">Sub-features</w:t>
      </w:r>
    </w:p>
    <w:tbl>
      <w:tblPr>
        <w:tblW w:type="dxa" w:w="9020"/>
        <w:tblBorders>
          <w:top w:val="none"/>
          <w:left w:val="none"/>
          <w:bottom w:val="single" w:color="E4E7EB" w:sz="4"/>
          <w:right w:val="none"/>
          <w:insideH w:val="single" w:color="E4E7EB" w:sz="4"/>
          <w:insideV w:val="none"/>
        </w:tblBorders>
      </w:tblPr>
      <w:tblGrid>
        <w:gridCol w:w="2820"/>
        <w:gridCol w:w="6200"/>
      </w:tblGrid>
      <w:tr>
        <w:trPr>
          <w:tblHeader/>
        </w:trPr>
        <w:tc>
          <w:tcPr>
            <w:tcW w:type="dxa" w:w="282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Sub-feature</w:t>
            </w:r>
          </w:p>
        </w:tc>
        <w:tc>
          <w:tcPr>
            <w:tcW w:type="dxa" w:w="6200"/>
            <w:shd w:fill="12A3B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Users &amp; Roles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The permission matrix (module × level: none / view / edit / full), role templates and super-admin.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Access Records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Per-person access on least-privilege, with segregation-of-duties conflicts blocked.</w:t>
            </w:r>
          </w:p>
        </w:tc>
      </w:tr>
      <w:tr>
        <w:tc>
          <w:tcPr>
            <w:tcW w:type="dxa" w:w="282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color w:val="22262E"/>
                <w:sz w:val="20"/>
                <w:szCs w:val="20"/>
              </w:rPr>
              <w:t xml:space="preserve">Audit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22262E"/>
                <w:sz w:val="20"/>
                <w:szCs w:val="20"/>
              </w:rPr>
              <w:t xml:space="preserve">The append-only log of every create, edit, approval, state change and document view.</w:t>
            </w:r>
          </w:p>
        </w:tc>
      </w:tr>
    </w:tbl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Records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A person opens their access record: the permission matrix across modules, with the role template applied.</w:t>
      </w:r>
    </w:p>
    <w:p>
      <w:pPr>
        <w:spacing w:after="70"/>
      </w:pPr>
    </w:p>
    <w:tbl>
      <w:tblPr>
        <w:tblW w:type="dxa" w:w="9020"/>
        <w:tblBorders>
          <w:top w:val="none"/>
          <w:left w:val="single" w:color="12A3BE" w:sz="18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shd w:fill="E6F5F8" w:color="auto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12A3BE"/>
                <w:sz w:val="18"/>
                <w:szCs w:val="18"/>
              </w:rPr>
              <w:t xml:space="preserve">WORKFLOWS  </w:t>
            </w:r>
            <w:r>
              <w:rPr>
                <w:rFonts w:ascii="Calibri" w:cs="Calibri" w:eastAsia="Calibri" w:hAnsi="Calibri"/>
                <w:color w:val="22262E"/>
                <w:sz w:val="20"/>
                <w:szCs w:val="20"/>
              </w:rPr>
              <w:t xml:space="preserve">B9 Access Provisioning; underpins the segregation-of-duties control in B1 and the audit trail everywhere. See the Workflows &amp; SOPs guide.</w:t>
            </w:r>
          </w:p>
        </w:tc>
      </w:tr>
    </w:tbl>
    <w:p>
      <w:r>
        <w:br w:type="page"/>
      </w:r>
    </w:p>
    <w:p>
      <w:pPr>
        <w:spacing w:after="70" w:before="220"/>
      </w:pPr>
      <w:r>
        <w:rPr>
          <w:rFonts w:ascii="Calibri" w:cs="Calibri" w:eastAsia="Calibri" w:hAnsi="Calibri"/>
          <w:b/>
          <w:bCs/>
          <w:color w:val="12A3BE"/>
          <w:sz w:val="23"/>
          <w:szCs w:val="23"/>
        </w:rPr>
        <w:t xml:space="preserve">Adjacent modules</w:t>
      </w:r>
    </w:p>
    <w:p>
      <w:pPr>
        <w:spacing w:after="130" w:before="0" w:line="290"/>
      </w:pPr>
      <w:r>
        <w:rPr>
          <w:rFonts w:ascii="Calibri" w:cs="Calibri" w:eastAsia="Calibri" w:hAnsi="Calibri"/>
          <w:color w:val="22262E"/>
          <w:sz w:val="21"/>
          <w:szCs w:val="21"/>
        </w:rPr>
        <w:t xml:space="preserve">Two further modules exist in the system and are being built out to the same depth; they are noted here for completeness: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b/>
          <w:bCs/>
          <w:color w:val="22262E"/>
          <w:sz w:val="21"/>
          <w:szCs w:val="21"/>
        </w:rPr>
        <w:t xml:space="preserve">Deployment &amp; Carbon — </w:t>
      </w:r>
      <w:r>
        <w:rPr>
          <w:rFonts w:ascii="Calibri" w:cs="Calibri" w:eastAsia="Calibri" w:hAnsi="Calibri"/>
          <w:color w:val="22262E"/>
          <w:sz w:val="21"/>
          <w:szCs w:val="21"/>
        </w:rPr>
        <w:t xml:space="preserve">deployment tracking and carbon / dMRV — where field installs and monitoring data feed carbon crediting. Draws on Inventory dispatch and Projects field activity.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b/>
          <w:bCs/>
          <w:color w:val="22262E"/>
          <w:sz w:val="21"/>
          <w:szCs w:val="21"/>
        </w:rPr>
        <w:t xml:space="preserve">Institution Readiness — </w:t>
      </w:r>
      <w:r>
        <w:rPr>
          <w:rFonts w:ascii="Calibri" w:cs="Calibri" w:eastAsia="Calibri" w:hAnsi="Calibri"/>
          <w:color w:val="22262E"/>
          <w:sz w:val="21"/>
          <w:szCs w:val="21"/>
        </w:rPr>
        <w:t xml:space="preserve">the institutional readiness scoring that feeds the downstream CRM pipeline and, potentially, CleanCookIQ.</w:t>
      </w:r>
    </w:p>
    <w:p>
      <w:pPr>
        <w:pBdr>
          <w:bottom w:val="single" w:color="E4E7EB" w:sz="10"/>
        </w:pBdr>
        <w:spacing w:after="160" w:before="20"/>
      </w:pPr>
    </w:p>
    <w:p>
      <w:pPr>
        <w:spacing w:after="130" w:before="0" w:line="290"/>
      </w:pPr>
      <w:r>
        <w:rPr>
          <w:rFonts w:ascii="Calibri" w:cs="Calibri" w:eastAsia="Calibri" w:hAnsi="Calibri"/>
          <w:i/>
          <w:iCs/>
          <w:color w:val="646C77"/>
          <w:sz w:val="20"/>
          <w:szCs w:val="20"/>
        </w:rPr>
        <w:t xml:space="preserve">This document describes the module scope reflected in the current Jikoni prototype, where each sub-feature is a working screen on illustrative data. Read alongside the Workflows &amp; SOPs guide for the processes and the build sequence.</w:t>
      </w:r>
    </w:p>
    <w:sectPr>
      <w:pgSz w:w="11906" w:h="16838" w:orient="portrait"/>
      <w:pgMar w:top="1300" w:right="1500" w:bottom="12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6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2026-07-03T17:56:22.352Z</dcterms:created>
  <dcterms:modified xsi:type="dcterms:W3CDTF">2026-07-03T17:56:22.366Z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