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kategoria ^kategoria, avg(ear))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 (termek))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termek ^termek, count(*)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 komponens)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t.nev ^t.nev, count(*) (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komponens k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⋈ t.tkod = k.termek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termek 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vagy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t.nev, db ((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termek ^termek, count(*) db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 komponens ) ) k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⋈ t.tkod = k.termek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termek 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.a.* (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nev= X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(termek) 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⋈ t.tkod = k.termek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komponens k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⋈ a.akod= k.alkatresz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alkatresz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kategoria (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av &gt; X 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kategoria^kategoria, avg(ar) av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 (termek))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