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E9EEA" w14:textId="15FA2478" w:rsidR="00234ADD" w:rsidRPr="00234ADD" w:rsidRDefault="00234ADD" w:rsidP="002D581E">
      <w:pPr>
        <w:pStyle w:val="Ttulo1"/>
        <w:spacing w:line="360" w:lineRule="auto"/>
        <w:rPr>
          <w:rFonts w:ascii="Arial" w:hAnsi="Arial" w:cs="Arial"/>
          <w:b/>
          <w:bCs/>
          <w:color w:val="2A388F"/>
        </w:rPr>
      </w:pPr>
      <w:r w:rsidRPr="00234ADD">
        <w:rPr>
          <w:rFonts w:ascii="Arial" w:hAnsi="Arial" w:cs="Arial"/>
          <w:b/>
          <w:bCs/>
          <w:color w:val="2A388F"/>
        </w:rPr>
        <w:t>Diagnóstico Preditivo de Turnover</w:t>
      </w:r>
      <w:r>
        <w:rPr>
          <w:rFonts w:ascii="Arial" w:hAnsi="Arial" w:cs="Arial"/>
          <w:b/>
          <w:bCs/>
          <w:color w:val="2A388F"/>
        </w:rPr>
        <w:t xml:space="preserve">: </w:t>
      </w:r>
      <w:r w:rsidRPr="00234ADD">
        <w:rPr>
          <w:rStyle w:val="SubttuloChar"/>
          <w:rFonts w:ascii="Times New Roman" w:hAnsi="Times New Roman" w:cs="Times New Roman"/>
          <w:b/>
          <w:bCs/>
          <w:color w:val="2A388F"/>
        </w:rPr>
        <w:t>Mudando o cenário de reação para a antecipação estratégica</w:t>
      </w:r>
    </w:p>
    <w:p w14:paraId="1350C787" w14:textId="3D0842A2" w:rsidR="00234ADD" w:rsidRDefault="00234ADD" w:rsidP="002D581E">
      <w:pPr>
        <w:spacing w:line="360" w:lineRule="auto"/>
      </w:pPr>
      <w:r>
        <w:tab/>
      </w:r>
      <w:r>
        <w:tab/>
      </w:r>
      <w:r>
        <w:tab/>
      </w:r>
      <w:r>
        <w:tab/>
      </w:r>
      <w:r>
        <w:tab/>
      </w:r>
      <w:r>
        <w:tab/>
      </w:r>
      <w:r>
        <w:tab/>
      </w:r>
      <w:r>
        <w:tab/>
      </w:r>
      <w:r>
        <w:tab/>
      </w:r>
      <w:r>
        <w:tab/>
        <w:t>João Santos</w:t>
      </w:r>
    </w:p>
    <w:p w14:paraId="7BF2DFCB" w14:textId="6BDBCF60" w:rsidR="00234ADD" w:rsidRDefault="00614A36" w:rsidP="002D581E">
      <w:pPr>
        <w:pStyle w:val="Ttulo2"/>
        <w:spacing w:line="360" w:lineRule="auto"/>
        <w:rPr>
          <w:b/>
          <w:bCs/>
        </w:rPr>
      </w:pPr>
      <w:r w:rsidRPr="00614A36">
        <w:rPr>
          <w:b/>
          <w:bCs/>
        </w:rPr>
        <w:t>Resumo</w:t>
      </w:r>
    </w:p>
    <w:p w14:paraId="69C7957F" w14:textId="2C0CD29D" w:rsidR="00614A36" w:rsidRDefault="00614A36" w:rsidP="002D581E">
      <w:pPr>
        <w:spacing w:line="360" w:lineRule="auto"/>
      </w:pPr>
      <w:r>
        <w:t xml:space="preserve">A saída voluntária de colaboradores </w:t>
      </w:r>
      <w:r w:rsidRPr="00614A36">
        <w:rPr>
          <w:i/>
          <w:iCs/>
        </w:rPr>
        <w:t>(Turnover)</w:t>
      </w:r>
      <w:r>
        <w:t xml:space="preserve"> representa um dos maiores problemas financeiros e intelectuais para as organizações atuais. Este artigo descreve o desenvolvimento e a implementação de um modelo preditivo de </w:t>
      </w:r>
      <w:r w:rsidRPr="00614A36">
        <w:rPr>
          <w:i/>
          <w:iCs/>
        </w:rPr>
        <w:t>Machine Learning</w:t>
      </w:r>
      <w:r w:rsidR="000140ED">
        <w:rPr>
          <w:i/>
          <w:iCs/>
        </w:rPr>
        <w:t xml:space="preserve"> </w:t>
      </w:r>
      <w:r w:rsidR="000140ED">
        <w:t xml:space="preserve">focado em antecipar o risco de saída dos funcionários em uma operação corporativa real. Utilizando dados históricos extraídos do sistema transacional de folha de pagamento (FOPAG), aplicamos técnicas de Engenharia de Variáveis </w:t>
      </w:r>
      <w:r w:rsidR="000140ED" w:rsidRPr="000140ED">
        <w:rPr>
          <w:i/>
          <w:iCs/>
        </w:rPr>
        <w:t>(Feature Engineering)</w:t>
      </w:r>
      <w:r w:rsidR="000140ED">
        <w:rPr>
          <w:i/>
          <w:iCs/>
        </w:rPr>
        <w:t xml:space="preserve"> </w:t>
      </w:r>
      <w:r w:rsidR="000140ED">
        <w:t xml:space="preserve">para traduzir fatores demográficos, temporais e de geolocalização em matrizes preditivas. Como obtivemos uma base naturalmente desbalanceada dos dados de evasão, utilizamos uma técnica de SMOTE </w:t>
      </w:r>
      <w:r w:rsidR="000140ED" w:rsidRPr="000140ED">
        <w:rPr>
          <w:i/>
          <w:iCs/>
        </w:rPr>
        <w:t>(Synthetic Minority Over-sampling Technique)</w:t>
      </w:r>
      <w:r w:rsidR="000140ED">
        <w:rPr>
          <w:i/>
          <w:iCs/>
        </w:rPr>
        <w:t xml:space="preserve"> </w:t>
      </w:r>
      <w:r w:rsidR="000140ED">
        <w:t xml:space="preserve">combinada ao algoritmo </w:t>
      </w:r>
      <w:r w:rsidR="000140ED" w:rsidRPr="000140ED">
        <w:rPr>
          <w:i/>
          <w:iCs/>
        </w:rPr>
        <w:t>Random Forest</w:t>
      </w:r>
      <w:r w:rsidR="000140ED">
        <w:rPr>
          <w:i/>
          <w:iCs/>
        </w:rPr>
        <w:t xml:space="preserve">. </w:t>
      </w:r>
      <w:r w:rsidR="000140ED">
        <w:t>O modelo final atingiu uma capacidade de identificação (Recall) de 60% com base na classe minoritária, permitindo a transição da gestão de Recursos Humanos (RH) de um modelo totalmente reativo para uma atuação preventiva-cirúrgica baseada em probabilidades de risco de fuga (Flinght Risk Score)</w:t>
      </w:r>
      <w:r w:rsidR="0007347F">
        <w:t>.</w:t>
      </w:r>
    </w:p>
    <w:p w14:paraId="153F4D66" w14:textId="7469A897" w:rsidR="0007347F" w:rsidRDefault="0007347F" w:rsidP="002D581E">
      <w:pPr>
        <w:pBdr>
          <w:bottom w:val="single" w:sz="6" w:space="1" w:color="auto"/>
        </w:pBdr>
        <w:spacing w:line="360" w:lineRule="auto"/>
      </w:pPr>
      <w:r>
        <w:t>Palavras – Chaves: People Analytics, Turnover, Machine Learning, Random Forest, SMOTE, Retenção de Talentos.</w:t>
      </w:r>
    </w:p>
    <w:p w14:paraId="1CA88C7E" w14:textId="3D9B4902" w:rsidR="0007347F" w:rsidRDefault="006D71FC" w:rsidP="002D581E">
      <w:pPr>
        <w:pStyle w:val="Ttulo2"/>
        <w:spacing w:line="360" w:lineRule="auto"/>
        <w:rPr>
          <w:b/>
          <w:bCs/>
        </w:rPr>
      </w:pPr>
      <w:r>
        <w:rPr>
          <w:b/>
          <w:bCs/>
        </w:rPr>
        <w:t>1.</w:t>
      </w:r>
      <w:r w:rsidR="0007347F" w:rsidRPr="0007347F">
        <w:rPr>
          <w:b/>
          <w:bCs/>
        </w:rPr>
        <w:t>Introdução</w:t>
      </w:r>
    </w:p>
    <w:p w14:paraId="44AE996D" w14:textId="2640AE22" w:rsidR="0007347F" w:rsidRDefault="0007347F" w:rsidP="002D581E">
      <w:pPr>
        <w:spacing w:line="360" w:lineRule="auto"/>
      </w:pPr>
      <w:r>
        <w:t xml:space="preserve">No atual cenário corporativo, a retenção de talentos ultrapassa a área de apenas clima organizacional, se consolidando como uma métrica crítica de sustentabilidade financeira. De acordo com a </w:t>
      </w:r>
      <w:r w:rsidRPr="0007347F">
        <w:rPr>
          <w:i/>
          <w:iCs/>
        </w:rPr>
        <w:t>Society for Human Resource Management</w:t>
      </w:r>
      <w:r>
        <w:t xml:space="preserve"> (SHRM, 2022), o custo de substituição de um colaborador pode variar entre 50% e 200% do seu salário anual, englobando as despesas de recrutamento, </w:t>
      </w:r>
      <w:r w:rsidRPr="0007347F">
        <w:rPr>
          <w:i/>
          <w:iCs/>
        </w:rPr>
        <w:t>onboarding</w:t>
      </w:r>
      <w:r>
        <w:t xml:space="preserve"> e a curva de aprendizado inerente à nova contratação.</w:t>
      </w:r>
      <w:r w:rsidR="002D581E">
        <w:t xml:space="preserve"> No Brasil, cálculos da BGC Brasil apontam que a reposição de uma posição que custa R$ 120 mil ao ano pode gerar um custo de reposição de R$ 81,5 mil um custo de reposição de 47%, sem considerar os efeitos em produtividade, adaptação cultural e engajamento de equipe.</w:t>
      </w:r>
    </w:p>
    <w:p w14:paraId="35259896" w14:textId="112010B1" w:rsidR="002D581E" w:rsidRDefault="002D581E" w:rsidP="002D581E">
      <w:pPr>
        <w:spacing w:line="360" w:lineRule="auto"/>
      </w:pPr>
      <w:r>
        <w:lastRenderedPageBreak/>
        <w:t xml:space="preserve">Apesar da alta relevância do tema, grande parte dos departamentos de Recursos Humanos (RH) ainda opera sob um paradigma analítico puramente descritivo e operacional, focando em relatórios </w:t>
      </w:r>
      <w:r>
        <w:rPr>
          <w:i/>
          <w:iCs/>
        </w:rPr>
        <w:t>post-mortem</w:t>
      </w:r>
      <w:r>
        <w:t xml:space="preserve">, como entrevistas de desligamentos e métricas de turnover histórico (BERSIN, 2021). Embora muito importantes para a compreensão do passado, tais métodos falham em fornecer </w:t>
      </w:r>
      <w:r w:rsidRPr="002D581E">
        <w:rPr>
          <w:i/>
          <w:iCs/>
        </w:rPr>
        <w:t>insights</w:t>
      </w:r>
      <w:r>
        <w:t xml:space="preserve"> acionáveis em tempo hábil para evitar a saída de talentos-chaves.</w:t>
      </w:r>
    </w:p>
    <w:p w14:paraId="5B104F9E" w14:textId="152F2746" w:rsidR="002D581E" w:rsidRPr="002D581E" w:rsidRDefault="002D581E" w:rsidP="002D581E">
      <w:pPr>
        <w:spacing w:line="360" w:lineRule="auto"/>
      </w:pPr>
      <w:r>
        <w:t xml:space="preserve">Com a criação do People Analytics 3.0, a literatura tem apontado para a necessidade de adoção e criação de modelos preditivos que utilizem dados preexistentes dos colaboradores para calcular a probabilidade futura de atrito </w:t>
      </w:r>
      <w:r w:rsidRPr="002D581E">
        <w:rPr>
          <w:i/>
          <w:iCs/>
        </w:rPr>
        <w:t>(Attrition Prediction)</w:t>
      </w:r>
      <w:r>
        <w:t xml:space="preserve"> (DAVENPORT et al., 2010).</w:t>
      </w:r>
    </w:p>
    <w:p w14:paraId="17EA0366" w14:textId="0CF74FEC" w:rsidR="000140ED" w:rsidRDefault="002D581E" w:rsidP="002D581E">
      <w:pPr>
        <w:pBdr>
          <w:bottom w:val="single" w:sz="6" w:space="1" w:color="auto"/>
        </w:pBdr>
        <w:spacing w:line="360" w:lineRule="auto"/>
      </w:pPr>
      <w:r>
        <w:t xml:space="preserve">Esse artigo tem como objetivo apresentar a arquitetura, o desenvolvimento e os resultados de um modelo preditivo de </w:t>
      </w:r>
      <w:r w:rsidRPr="002D581E">
        <w:rPr>
          <w:i/>
          <w:iCs/>
        </w:rPr>
        <w:t>Turnover</w:t>
      </w:r>
      <w:r>
        <w:t xml:space="preserve"> aplicado a uma base de dados corporativa real. O estudo demonstra como aplicação de algoritmos não lineares, especificamente o Random Forest, aliados a tratamentos matemáticos de balanceamento de classes (SMOTE), pode identificar padrões ocultos de evasão, como o impacto do tempo de deslocamento geográfico e os ciclos de maturidade do colaborador (“Mortalidade Infantil” organizacional).</w:t>
      </w:r>
    </w:p>
    <w:p w14:paraId="78F89673" w14:textId="07148C5B" w:rsidR="002D581E" w:rsidRDefault="006D71FC" w:rsidP="000136A7">
      <w:pPr>
        <w:pStyle w:val="Ttulo2"/>
        <w:spacing w:line="360" w:lineRule="auto"/>
        <w:rPr>
          <w:b/>
          <w:bCs/>
        </w:rPr>
      </w:pPr>
      <w:r w:rsidRPr="006D71FC">
        <w:rPr>
          <w:b/>
          <w:bCs/>
        </w:rPr>
        <w:t>2.Métodologia e Engenharia de Dados</w:t>
      </w:r>
    </w:p>
    <w:p w14:paraId="0B2E00DC" w14:textId="41D93974" w:rsidR="006D71FC" w:rsidRDefault="006D71FC" w:rsidP="000136A7">
      <w:pPr>
        <w:spacing w:line="360" w:lineRule="auto"/>
      </w:pPr>
      <w:r>
        <w:t xml:space="preserve">A construção dos modelos preditivos exigiu um rigoroso processo de </w:t>
      </w:r>
      <w:r w:rsidRPr="006D71FC">
        <w:rPr>
          <w:i/>
          <w:iCs/>
        </w:rPr>
        <w:t>Data Preparation</w:t>
      </w:r>
      <w:r>
        <w:t xml:space="preserve"> (Preparação de Dados), essencial para garantir que a inteligência artificial modelasse os padrões de negócio, e não ruídos sistêmicos. A extração inicial (</w:t>
      </w:r>
      <w:r w:rsidRPr="006D71FC">
        <w:rPr>
          <w:i/>
          <w:iCs/>
        </w:rPr>
        <w:t>Data Extraction</w:t>
      </w:r>
      <w:r>
        <w:t>) foi realizada via consultas SQL diretamente no banco de dados transacional da empresa (FOPAG), garantindo a integridade referencial dos registros (identificados pela chave principal `colaborador_sk`).</w:t>
      </w:r>
    </w:p>
    <w:p w14:paraId="09621814" w14:textId="5A0930D6" w:rsidR="006D71FC" w:rsidRDefault="006D71FC" w:rsidP="000136A7">
      <w:pPr>
        <w:pStyle w:val="Ttulo3"/>
        <w:spacing w:line="360" w:lineRule="auto"/>
        <w:rPr>
          <w:b/>
          <w:bCs/>
        </w:rPr>
      </w:pPr>
      <w:r w:rsidRPr="006D71FC">
        <w:rPr>
          <w:b/>
          <w:bCs/>
        </w:rPr>
        <w:t>2.1. Saneamento de Dados (Data Cleansing)</w:t>
      </w:r>
    </w:p>
    <w:p w14:paraId="72CE88D4" w14:textId="15B62CAE" w:rsidR="006D71FC" w:rsidRDefault="006D71FC" w:rsidP="000136A7">
      <w:pPr>
        <w:spacing w:line="360" w:lineRule="auto"/>
      </w:pPr>
      <w:r>
        <w:t xml:space="preserve">A base original contava com 91 registros históricos e 22 variáveis iniciais. Foram identificados e tratados valores nulos </w:t>
      </w:r>
      <w:r w:rsidRPr="006D71FC">
        <w:rPr>
          <w:i/>
          <w:iCs/>
        </w:rPr>
        <w:t>(Missing Values)</w:t>
      </w:r>
      <w:r>
        <w:rPr>
          <w:i/>
          <w:iCs/>
        </w:rPr>
        <w:t xml:space="preserve"> </w:t>
      </w:r>
      <w:r>
        <w:t>em colunas vitais. Registros com ausência de informação crítica irrecuperável (ex.: `</w:t>
      </w:r>
      <w:proofErr w:type="gramStart"/>
      <w:r>
        <w:t>salario</w:t>
      </w:r>
      <w:proofErr w:type="gramEnd"/>
      <w:r>
        <w:t xml:space="preserve">_contratual`) foram removidos </w:t>
      </w:r>
      <w:r w:rsidRPr="006D71FC">
        <w:rPr>
          <w:i/>
          <w:iCs/>
        </w:rPr>
        <w:t>(</w:t>
      </w:r>
      <w:r>
        <w:rPr>
          <w:i/>
          <w:iCs/>
        </w:rPr>
        <w:t>L</w:t>
      </w:r>
      <w:r w:rsidRPr="006D71FC">
        <w:rPr>
          <w:i/>
          <w:iCs/>
        </w:rPr>
        <w:t xml:space="preserve">istwise </w:t>
      </w:r>
      <w:r>
        <w:rPr>
          <w:i/>
          <w:iCs/>
        </w:rPr>
        <w:t>D</w:t>
      </w:r>
      <w:r w:rsidRPr="006D71FC">
        <w:rPr>
          <w:i/>
          <w:iCs/>
        </w:rPr>
        <w:t>eletion)</w:t>
      </w:r>
      <w:r>
        <w:rPr>
          <w:i/>
          <w:iCs/>
        </w:rPr>
        <w:t xml:space="preserve">, </w:t>
      </w:r>
      <w:r>
        <w:t xml:space="preserve">resultando em um dataset útil de 89 observações. Variáveis temporais em formato de texto (object) foram convertidas para o padrão </w:t>
      </w:r>
      <w:r>
        <w:rPr>
          <w:i/>
          <w:iCs/>
        </w:rPr>
        <w:t>datetime</w:t>
      </w:r>
      <w:r>
        <w:t>, permitindo operações aritméticas. Para evitar o vazamento de dados (</w:t>
      </w:r>
      <w:r w:rsidRPr="006D71FC">
        <w:rPr>
          <w:i/>
          <w:iCs/>
        </w:rPr>
        <w:t>Data Leakage</w:t>
      </w:r>
      <w:r>
        <w:t>) e o sobreajuste (Overfitting), a chave primária de identificação dos funcionários foi retirada do conjunto de treinamento.</w:t>
      </w:r>
    </w:p>
    <w:p w14:paraId="18EC02B0" w14:textId="0488AFCF" w:rsidR="006D71FC" w:rsidRDefault="006D71FC" w:rsidP="000136A7">
      <w:pPr>
        <w:pStyle w:val="Ttulo3"/>
        <w:spacing w:line="360" w:lineRule="auto"/>
        <w:rPr>
          <w:b/>
          <w:bCs/>
        </w:rPr>
      </w:pPr>
      <w:r w:rsidRPr="006D71FC">
        <w:rPr>
          <w:b/>
          <w:bCs/>
        </w:rPr>
        <w:lastRenderedPageBreak/>
        <w:t>2.2. Engenharia de Variáveis (</w:t>
      </w:r>
      <w:r w:rsidRPr="006D71FC">
        <w:rPr>
          <w:b/>
          <w:bCs/>
          <w:i/>
          <w:iCs/>
        </w:rPr>
        <w:t>Feature Engineering</w:t>
      </w:r>
      <w:r w:rsidRPr="006D71FC">
        <w:rPr>
          <w:b/>
          <w:bCs/>
        </w:rPr>
        <w:t>)</w:t>
      </w:r>
    </w:p>
    <w:p w14:paraId="7F1C91B1" w14:textId="4FD309B2" w:rsidR="006D71FC" w:rsidRDefault="006D71FC" w:rsidP="000136A7">
      <w:pPr>
        <w:spacing w:line="360" w:lineRule="auto"/>
      </w:pPr>
      <w:r>
        <w:t>Para ser possível o aprendizado de máquina (</w:t>
      </w:r>
      <w:r w:rsidRPr="006D71FC">
        <w:rPr>
          <w:i/>
          <w:iCs/>
        </w:rPr>
        <w:t>Machine Learning</w:t>
      </w:r>
      <w:r>
        <w:t>), as variáveis brutas sofreram transformações físico-lógicas fundamentais:</w:t>
      </w:r>
    </w:p>
    <w:p w14:paraId="06A01215" w14:textId="509289AD" w:rsidR="006D71FC" w:rsidRDefault="006D71FC" w:rsidP="000136A7">
      <w:pPr>
        <w:pStyle w:val="PargrafodaLista"/>
        <w:numPr>
          <w:ilvl w:val="0"/>
          <w:numId w:val="1"/>
        </w:numPr>
        <w:spacing w:line="360" w:lineRule="auto"/>
      </w:pPr>
      <w:r w:rsidRPr="005A6EE6">
        <w:rPr>
          <w:b/>
          <w:bCs/>
        </w:rPr>
        <w:t>Maturidade Operacional:</w:t>
      </w:r>
      <w:r>
        <w:t xml:space="preserve"> A variável contínua `</w:t>
      </w:r>
      <w:proofErr w:type="spellStart"/>
      <w:r>
        <w:t>meses_de_casa</w:t>
      </w:r>
      <w:proofErr w:type="spellEnd"/>
      <w:r>
        <w:t>` calculada pela diferente entre a `</w:t>
      </w:r>
      <w:proofErr w:type="spellStart"/>
      <w:r>
        <w:t>data_admissao</w:t>
      </w:r>
      <w:proofErr w:type="spellEnd"/>
      <w:r>
        <w:t>` e a `</w:t>
      </w:r>
      <w:proofErr w:type="spellStart"/>
      <w:r>
        <w:t>data_demissao</w:t>
      </w:r>
      <w:proofErr w:type="spellEnd"/>
      <w:r>
        <w:t>` (ou data atual, para colaboradores ativos), tornando-a o principal eixo temporal da análise.</w:t>
      </w:r>
    </w:p>
    <w:p w14:paraId="348904DB" w14:textId="0BF59983" w:rsidR="005A6EE6" w:rsidRPr="001F30D8" w:rsidRDefault="005A6EE6" w:rsidP="000136A7">
      <w:pPr>
        <w:pStyle w:val="PargrafodaLista"/>
        <w:numPr>
          <w:ilvl w:val="0"/>
          <w:numId w:val="1"/>
        </w:numPr>
        <w:spacing w:line="360" w:lineRule="auto"/>
        <w:rPr>
          <w:b/>
          <w:bCs/>
        </w:rPr>
      </w:pPr>
      <w:r w:rsidRPr="005A6EE6">
        <w:rPr>
          <w:b/>
          <w:bCs/>
        </w:rPr>
        <w:t>Geocodificação por Zonas:</w:t>
      </w:r>
      <w:r>
        <w:rPr>
          <w:b/>
          <w:bCs/>
        </w:rPr>
        <w:t xml:space="preserve"> </w:t>
      </w:r>
      <w:r>
        <w:t>A literatura de geografia urbana aponta o tempo de deslocamento pendular como um dos motivos principais do estresse dos colaboradores. Códigos de Endereçamento Postal (CEP) brutos não possuem valor numérico contínuo para algoritmos baseados em árvores. Como estratégia de aproximação espacial (</w:t>
      </w:r>
      <w:proofErr w:type="spellStart"/>
      <w:r w:rsidRPr="000136A7">
        <w:rPr>
          <w:i/>
          <w:iCs/>
        </w:rPr>
        <w:t>Spatial</w:t>
      </w:r>
      <w:proofErr w:type="spellEnd"/>
      <w:r w:rsidRPr="000136A7">
        <w:rPr>
          <w:i/>
          <w:iCs/>
        </w:rPr>
        <w:t xml:space="preserve"> Proxy</w:t>
      </w:r>
      <w:r w:rsidR="000136A7">
        <w:t xml:space="preserve">), os CEPs foram divididos em seus dois primeiros dígitos, agrupando os colaboradores em macrozonas geográficas mapeadas (ex.: Zonas 70, 71, 72, 73 correspondentes ao Distrito Federal e entorno). Essa transformação categórica foi posteriormente </w:t>
      </w:r>
      <w:proofErr w:type="spellStart"/>
      <w:r w:rsidR="000136A7">
        <w:t>binarizada</w:t>
      </w:r>
      <w:proofErr w:type="spellEnd"/>
      <w:r w:rsidR="000136A7">
        <w:t xml:space="preserve"> através da técnica de </w:t>
      </w:r>
      <w:proofErr w:type="spellStart"/>
      <w:r w:rsidR="000136A7" w:rsidRPr="000136A7">
        <w:rPr>
          <w:i/>
          <w:iCs/>
        </w:rPr>
        <w:t>One</w:t>
      </w:r>
      <w:proofErr w:type="spellEnd"/>
      <w:r w:rsidR="000136A7" w:rsidRPr="000136A7">
        <w:rPr>
          <w:i/>
          <w:iCs/>
        </w:rPr>
        <w:t xml:space="preserve">-Hot </w:t>
      </w:r>
      <w:proofErr w:type="spellStart"/>
      <w:r w:rsidR="000136A7" w:rsidRPr="000136A7">
        <w:rPr>
          <w:i/>
          <w:iCs/>
        </w:rPr>
        <w:t>Enconding</w:t>
      </w:r>
      <w:proofErr w:type="spellEnd"/>
      <w:r w:rsidR="000136A7" w:rsidRPr="000136A7">
        <w:rPr>
          <w:i/>
          <w:iCs/>
        </w:rPr>
        <w:t>.</w:t>
      </w:r>
    </w:p>
    <w:p w14:paraId="464B4451" w14:textId="64F4AA57" w:rsidR="001F30D8" w:rsidRPr="001F30D8" w:rsidRDefault="001F30D8" w:rsidP="001F30D8">
      <w:pPr>
        <w:pStyle w:val="PargrafodaLista"/>
        <w:numPr>
          <w:ilvl w:val="0"/>
          <w:numId w:val="1"/>
        </w:numPr>
        <w:spacing w:line="360" w:lineRule="auto"/>
        <w:rPr>
          <w:b/>
          <w:bCs/>
        </w:rPr>
      </w:pPr>
      <w:r>
        <w:rPr>
          <w:b/>
          <w:bCs/>
        </w:rPr>
        <w:t xml:space="preserve">Aglomeração de Cauda Longa: </w:t>
      </w:r>
      <w:r>
        <w:t xml:space="preserve">Variáveis categóricas com alta cardinalidade e baixa frequência, como “Departamentos” e “Perfis Comportamentais” com menos de 4 representantes, foram aglutinadas em uma categoria unificada (“OUTROS). Esta técnica reduz o risco da Maldição da Dimensionalidade </w:t>
      </w:r>
      <w:r w:rsidRPr="001F30D8">
        <w:rPr>
          <w:i/>
          <w:iCs/>
        </w:rPr>
        <w:t xml:space="preserve">(Curse </w:t>
      </w:r>
      <w:proofErr w:type="spellStart"/>
      <w:r w:rsidRPr="001F30D8">
        <w:rPr>
          <w:i/>
          <w:iCs/>
        </w:rPr>
        <w:t>of</w:t>
      </w:r>
      <w:proofErr w:type="spellEnd"/>
      <w:r w:rsidRPr="001F30D8">
        <w:rPr>
          <w:i/>
          <w:iCs/>
        </w:rPr>
        <w:t xml:space="preserve"> </w:t>
      </w:r>
      <w:proofErr w:type="spellStart"/>
      <w:r w:rsidRPr="001F30D8">
        <w:rPr>
          <w:i/>
          <w:iCs/>
        </w:rPr>
        <w:t>Dimensionality</w:t>
      </w:r>
      <w:proofErr w:type="spellEnd"/>
      <w:r w:rsidRPr="001F30D8">
        <w:rPr>
          <w:i/>
          <w:iCs/>
        </w:rPr>
        <w:t>)</w:t>
      </w:r>
      <w:r>
        <w:t xml:space="preserve"> ao restringir a criação excessiva de variáveis </w:t>
      </w:r>
      <w:proofErr w:type="spellStart"/>
      <w:r w:rsidRPr="001F30D8">
        <w:rPr>
          <w:i/>
          <w:iCs/>
        </w:rPr>
        <w:t>dummys</w:t>
      </w:r>
      <w:proofErr w:type="spellEnd"/>
      <w:r w:rsidRPr="001F30D8">
        <w:rPr>
          <w:i/>
          <w:iCs/>
        </w:rPr>
        <w:t xml:space="preserve"> </w:t>
      </w:r>
      <w:r>
        <w:t>que não possuem uma significância estatística.</w:t>
      </w:r>
    </w:p>
    <w:p w14:paraId="0A64EEF7" w14:textId="77777777" w:rsidR="001F30D8" w:rsidRDefault="001F30D8" w:rsidP="001F30D8">
      <w:pPr>
        <w:pBdr>
          <w:bottom w:val="single" w:sz="6" w:space="1" w:color="auto"/>
        </w:pBdr>
        <w:spacing w:line="360" w:lineRule="auto"/>
        <w:ind w:firstLine="0"/>
        <w:rPr>
          <w:b/>
          <w:bCs/>
        </w:rPr>
      </w:pPr>
    </w:p>
    <w:p w14:paraId="6E9862A6" w14:textId="77777777" w:rsidR="001F30D8" w:rsidRPr="001F30D8" w:rsidRDefault="001F30D8" w:rsidP="001F30D8">
      <w:pPr>
        <w:spacing w:line="360" w:lineRule="auto"/>
        <w:ind w:firstLine="0"/>
        <w:rPr>
          <w:b/>
          <w:bCs/>
        </w:rPr>
      </w:pPr>
    </w:p>
    <w:sectPr w:rsidR="001F30D8" w:rsidRPr="001F30D8" w:rsidSect="00234ADD">
      <w:headerReference w:type="default" r:id="rId8"/>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C0F48" w14:textId="77777777" w:rsidR="00527DD2" w:rsidRDefault="00527DD2" w:rsidP="00234ADD">
      <w:pPr>
        <w:spacing w:after="0" w:line="240" w:lineRule="auto"/>
      </w:pPr>
      <w:r>
        <w:separator/>
      </w:r>
    </w:p>
  </w:endnote>
  <w:endnote w:type="continuationSeparator" w:id="0">
    <w:p w14:paraId="3C5B735B" w14:textId="77777777" w:rsidR="00527DD2" w:rsidRDefault="00527DD2" w:rsidP="00234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CDD2A" w14:textId="77777777" w:rsidR="00527DD2" w:rsidRDefault="00527DD2" w:rsidP="00234ADD">
      <w:pPr>
        <w:spacing w:after="0" w:line="240" w:lineRule="auto"/>
      </w:pPr>
      <w:r>
        <w:separator/>
      </w:r>
    </w:p>
  </w:footnote>
  <w:footnote w:type="continuationSeparator" w:id="0">
    <w:p w14:paraId="2193EC43" w14:textId="77777777" w:rsidR="00527DD2" w:rsidRDefault="00527DD2" w:rsidP="00234A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0913461"/>
      <w:docPartObj>
        <w:docPartGallery w:val="Page Numbers (Top of Page)"/>
        <w:docPartUnique/>
      </w:docPartObj>
    </w:sdtPr>
    <w:sdtEndPr>
      <w:rPr>
        <w:rFonts w:ascii="Times New Roman" w:hAnsi="Times New Roman" w:cs="Times New Roman"/>
        <w:b/>
        <w:bCs/>
        <w:sz w:val="20"/>
        <w:szCs w:val="20"/>
      </w:rPr>
    </w:sdtEndPr>
    <w:sdtContent>
      <w:p w14:paraId="6F1C3A4E" w14:textId="7380648E" w:rsidR="00234ADD" w:rsidRPr="00234ADD" w:rsidRDefault="00234ADD">
        <w:pPr>
          <w:pStyle w:val="Cabealho"/>
          <w:jc w:val="right"/>
          <w:rPr>
            <w:rFonts w:ascii="Times New Roman" w:hAnsi="Times New Roman" w:cs="Times New Roman"/>
            <w:b/>
            <w:bCs/>
            <w:sz w:val="20"/>
            <w:szCs w:val="20"/>
          </w:rPr>
        </w:pPr>
        <w:r w:rsidRPr="00234ADD">
          <w:rPr>
            <w:rFonts w:ascii="Times New Roman" w:hAnsi="Times New Roman" w:cs="Times New Roman"/>
            <w:b/>
            <w:bCs/>
            <w:sz w:val="20"/>
            <w:szCs w:val="20"/>
          </w:rPr>
          <w:fldChar w:fldCharType="begin"/>
        </w:r>
        <w:r w:rsidRPr="00234ADD">
          <w:rPr>
            <w:rFonts w:ascii="Times New Roman" w:hAnsi="Times New Roman" w:cs="Times New Roman"/>
            <w:b/>
            <w:bCs/>
            <w:sz w:val="20"/>
            <w:szCs w:val="20"/>
          </w:rPr>
          <w:instrText>PAGE   \* MERGEFORMAT</w:instrText>
        </w:r>
        <w:r w:rsidRPr="00234ADD">
          <w:rPr>
            <w:rFonts w:ascii="Times New Roman" w:hAnsi="Times New Roman" w:cs="Times New Roman"/>
            <w:b/>
            <w:bCs/>
            <w:sz w:val="20"/>
            <w:szCs w:val="20"/>
          </w:rPr>
          <w:fldChar w:fldCharType="separate"/>
        </w:r>
        <w:r w:rsidRPr="00234ADD">
          <w:rPr>
            <w:rFonts w:ascii="Times New Roman" w:hAnsi="Times New Roman" w:cs="Times New Roman"/>
            <w:b/>
            <w:bCs/>
            <w:sz w:val="20"/>
            <w:szCs w:val="20"/>
          </w:rPr>
          <w:t>2</w:t>
        </w:r>
        <w:r w:rsidRPr="00234ADD">
          <w:rPr>
            <w:rFonts w:ascii="Times New Roman" w:hAnsi="Times New Roman" w:cs="Times New Roman"/>
            <w:b/>
            <w:bCs/>
            <w:sz w:val="20"/>
            <w:szCs w:val="20"/>
          </w:rPr>
          <w:fldChar w:fldCharType="end"/>
        </w:r>
      </w:p>
    </w:sdtContent>
  </w:sdt>
  <w:p w14:paraId="03993023" w14:textId="77777777" w:rsidR="00234ADD" w:rsidRDefault="00234AD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439AB"/>
    <w:multiLevelType w:val="hybridMultilevel"/>
    <w:tmpl w:val="2AB4B6E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16cid:durableId="71285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ADD"/>
    <w:rsid w:val="000136A7"/>
    <w:rsid w:val="000140ED"/>
    <w:rsid w:val="0007347F"/>
    <w:rsid w:val="001F30D8"/>
    <w:rsid w:val="00234ADD"/>
    <w:rsid w:val="002D581E"/>
    <w:rsid w:val="003A3414"/>
    <w:rsid w:val="00476F50"/>
    <w:rsid w:val="00527DD2"/>
    <w:rsid w:val="005A6EE6"/>
    <w:rsid w:val="00614A36"/>
    <w:rsid w:val="006D71FC"/>
    <w:rsid w:val="006E0F0C"/>
    <w:rsid w:val="008A7A7D"/>
    <w:rsid w:val="00D70490"/>
    <w:rsid w:val="00EB1208"/>
    <w:rsid w:val="00FB73F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8A236"/>
  <w15:chartTrackingRefBased/>
  <w15:docId w15:val="{FE5BF2C5-CA12-4528-B776-9CE08F401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0ED"/>
    <w:pPr>
      <w:ind w:firstLine="709"/>
    </w:pPr>
  </w:style>
  <w:style w:type="paragraph" w:styleId="Ttulo1">
    <w:name w:val="heading 1"/>
    <w:basedOn w:val="Normal"/>
    <w:next w:val="Normal"/>
    <w:link w:val="Ttulo1Char"/>
    <w:uiPriority w:val="9"/>
    <w:qFormat/>
    <w:rsid w:val="00234A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234A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234A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34A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34A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34A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34A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34A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34AD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34AD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234AD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234AD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34AD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34AD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34AD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34AD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34AD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34ADD"/>
    <w:rPr>
      <w:rFonts w:eastAsiaTheme="majorEastAsia" w:cstheme="majorBidi"/>
      <w:color w:val="272727" w:themeColor="text1" w:themeTint="D8"/>
    </w:rPr>
  </w:style>
  <w:style w:type="paragraph" w:styleId="Ttulo">
    <w:name w:val="Title"/>
    <w:basedOn w:val="Normal"/>
    <w:next w:val="Normal"/>
    <w:link w:val="TtuloChar"/>
    <w:uiPriority w:val="10"/>
    <w:qFormat/>
    <w:rsid w:val="00234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34A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34ADD"/>
    <w:pPr>
      <w:numPr>
        <w:ilvl w:val="1"/>
      </w:numPr>
      <w:ind w:firstLine="709"/>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34AD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34ADD"/>
    <w:pPr>
      <w:spacing w:before="160"/>
      <w:jc w:val="center"/>
    </w:pPr>
    <w:rPr>
      <w:i/>
      <w:iCs/>
      <w:color w:val="404040" w:themeColor="text1" w:themeTint="BF"/>
    </w:rPr>
  </w:style>
  <w:style w:type="character" w:customStyle="1" w:styleId="CitaoChar">
    <w:name w:val="Citação Char"/>
    <w:basedOn w:val="Fontepargpadro"/>
    <w:link w:val="Citao"/>
    <w:uiPriority w:val="29"/>
    <w:rsid w:val="00234ADD"/>
    <w:rPr>
      <w:i/>
      <w:iCs/>
      <w:color w:val="404040" w:themeColor="text1" w:themeTint="BF"/>
    </w:rPr>
  </w:style>
  <w:style w:type="paragraph" w:styleId="PargrafodaLista">
    <w:name w:val="List Paragraph"/>
    <w:basedOn w:val="Normal"/>
    <w:uiPriority w:val="34"/>
    <w:qFormat/>
    <w:rsid w:val="00234ADD"/>
    <w:pPr>
      <w:ind w:left="720"/>
      <w:contextualSpacing/>
    </w:pPr>
  </w:style>
  <w:style w:type="character" w:styleId="nfaseIntensa">
    <w:name w:val="Intense Emphasis"/>
    <w:basedOn w:val="Fontepargpadro"/>
    <w:uiPriority w:val="21"/>
    <w:qFormat/>
    <w:rsid w:val="00234ADD"/>
    <w:rPr>
      <w:i/>
      <w:iCs/>
      <w:color w:val="0F4761" w:themeColor="accent1" w:themeShade="BF"/>
    </w:rPr>
  </w:style>
  <w:style w:type="paragraph" w:styleId="CitaoIntensa">
    <w:name w:val="Intense Quote"/>
    <w:basedOn w:val="Normal"/>
    <w:next w:val="Normal"/>
    <w:link w:val="CitaoIntensaChar"/>
    <w:uiPriority w:val="30"/>
    <w:qFormat/>
    <w:rsid w:val="00234A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34ADD"/>
    <w:rPr>
      <w:i/>
      <w:iCs/>
      <w:color w:val="0F4761" w:themeColor="accent1" w:themeShade="BF"/>
    </w:rPr>
  </w:style>
  <w:style w:type="character" w:styleId="RefernciaIntensa">
    <w:name w:val="Intense Reference"/>
    <w:basedOn w:val="Fontepargpadro"/>
    <w:uiPriority w:val="32"/>
    <w:qFormat/>
    <w:rsid w:val="00234ADD"/>
    <w:rPr>
      <w:b/>
      <w:bCs/>
      <w:smallCaps/>
      <w:color w:val="0F4761" w:themeColor="accent1" w:themeShade="BF"/>
      <w:spacing w:val="5"/>
    </w:rPr>
  </w:style>
  <w:style w:type="paragraph" w:styleId="Cabealho">
    <w:name w:val="header"/>
    <w:basedOn w:val="Normal"/>
    <w:link w:val="CabealhoChar"/>
    <w:uiPriority w:val="99"/>
    <w:unhideWhenUsed/>
    <w:rsid w:val="00234AD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34ADD"/>
  </w:style>
  <w:style w:type="paragraph" w:styleId="Rodap">
    <w:name w:val="footer"/>
    <w:basedOn w:val="Normal"/>
    <w:link w:val="RodapChar"/>
    <w:uiPriority w:val="99"/>
    <w:unhideWhenUsed/>
    <w:rsid w:val="00234ADD"/>
    <w:pPr>
      <w:tabs>
        <w:tab w:val="center" w:pos="4252"/>
        <w:tab w:val="right" w:pos="8504"/>
      </w:tabs>
      <w:spacing w:after="0" w:line="240" w:lineRule="auto"/>
    </w:pPr>
  </w:style>
  <w:style w:type="character" w:customStyle="1" w:styleId="RodapChar">
    <w:name w:val="Rodapé Char"/>
    <w:basedOn w:val="Fontepargpadro"/>
    <w:link w:val="Rodap"/>
    <w:uiPriority w:val="99"/>
    <w:rsid w:val="00234ADD"/>
  </w:style>
  <w:style w:type="character" w:styleId="TextodoEspaoReservado">
    <w:name w:val="Placeholder Text"/>
    <w:basedOn w:val="Fontepargpadro"/>
    <w:uiPriority w:val="99"/>
    <w:semiHidden/>
    <w:rsid w:val="00234ADD"/>
    <w:rPr>
      <w:color w:val="666666"/>
    </w:rPr>
  </w:style>
  <w:style w:type="paragraph" w:styleId="Reviso">
    <w:name w:val="Revision"/>
    <w:hidden/>
    <w:uiPriority w:val="99"/>
    <w:semiHidden/>
    <w:rsid w:val="006D71F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per">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49F824-033A-4207-AC28-99F42E92B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3</Pages>
  <Words>819</Words>
  <Characters>5048</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Pedro Santos</dc:creator>
  <cp:keywords/>
  <dc:description/>
  <cp:lastModifiedBy>João Pedro Santos</cp:lastModifiedBy>
  <cp:revision>3</cp:revision>
  <cp:lastPrinted>2026-02-22T21:16:00Z</cp:lastPrinted>
  <dcterms:created xsi:type="dcterms:W3CDTF">2026-02-22T16:54:00Z</dcterms:created>
  <dcterms:modified xsi:type="dcterms:W3CDTF">2026-02-22T22:27:00Z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2026-02-22T17:04:02Z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028ebe57-b23d-4ebf-890e-5a44f5f66cb5</vt:lpwstr>
  </property>
  <property fmtid="{D5CDD505-2E9C-101B-9397-08002B2CF9AE}" pid="7" name="MSIP_Label_defa4170-0d19-0005-0004-bc88714345d2_ActionId">
    <vt:lpwstr>ec8e5ec2-41e9-4fe1-92e2-979b24d7517b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