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просвещения Российской Федерации</w:t>
      </w:r>
    </w:p>
    <w:p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t>«Ульяновский государственный педагогический университет имени И.Н. Ульянова»</w:t>
      </w:r>
    </w:p>
    <w:p>
      <w:pPr>
        <w:ind w:firstLine="0"/>
        <w:jc w:val="center"/>
      </w:pPr>
      <w:r>
        <w:t>Факультет физико-математического и технологического образования</w:t>
      </w:r>
    </w:p>
    <w:p>
      <w:pPr>
        <w:ind w:firstLine="0"/>
        <w:jc w:val="center"/>
      </w:pPr>
      <w:r>
        <w:t>Кафедра высшей математики</w:t>
      </w:r>
    </w:p>
    <w:p>
      <w:pPr>
        <w:pStyle w:val="Heading1"/>
        <w:spacing w:before="320" w:after="200"/>
        <w:ind w:firstLine="0"/>
        <w:jc w:val="center"/>
      </w:pPr>
      <w:r>
        <w:t>ОТЧЕТ О НАУЧНО-ИССЛЕДОВАТЕЛЬСКОЙ РАБОТЕ</w:t>
      </w:r>
    </w:p>
    <w:p>
      <w:pPr>
        <w:pStyle w:val="Heading1"/>
        <w:spacing w:before="320" w:after="200"/>
        <w:ind w:firstLine="0"/>
        <w:jc w:val="center"/>
      </w:pPr>
      <w:r>
        <w:t>РЕФЕРАТ ПО ТЕМЕ:</w:t>
      </w:r>
      <w:r/>
      <w:r>
        <w:t>«История развития суперкомпьютерных технологий»</w:t>
      </w:r>
    </w:p>
    <w:p>
      <w:pPr>
        <w:ind w:firstLine="0"/>
        <w:jc w:val="center"/>
      </w:pPr>
      <w:r>
        <w:t>Исполнитель темы _______________________ Ф. И. О.</w:t>
      </w:r>
    </w:p>
    <w:p>
      <w:pPr>
        <w:ind w:firstLine="0"/>
        <w:jc w:val="center"/>
      </w:pPr>
      <w:r>
        <w:t>Группа _______________________</w:t>
      </w:r>
    </w:p>
    <w:p>
      <w:pPr>
        <w:ind w:firstLine="0"/>
        <w:jc w:val="center"/>
      </w:pPr>
      <w:r>
        <w:t>Руководитель темы _______________________ Цыганов А. В.</w:t>
      </w:r>
    </w:p>
    <w:p>
      <w:pPr>
        <w:ind w:firstLine="0"/>
        <w:jc w:val="center"/>
      </w:pPr>
      <w:r>
        <w:t>Ульяновск, 2026</w:t>
      </w:r>
      <w:r>
        <w:br w:type="page"/>
      </w:r>
    </w:p>
    <w:p>
      <w:pPr>
        <w:pStyle w:val="Heading1"/>
        <w:spacing w:before="320" w:after="200"/>
        <w:ind w:firstLine="0"/>
        <w:jc w:val="left"/>
      </w:pPr>
      <w:r>
        <w:t>Оглавление</w:t>
      </w:r>
    </w:p>
    <w:p>
      <w:pPr>
        <w:ind w:firstLine="0"/>
        <w:jc w:val="left"/>
      </w:pPr>
      <w:r>
        <w:t>Введение</w:t>
      </w:r>
    </w:p>
    <w:p>
      <w:pPr>
        <w:ind w:firstLine="0"/>
        <w:jc w:val="left"/>
      </w:pPr>
      <w:r>
        <w:t>Аналитическая часть</w:t>
      </w:r>
    </w:p>
    <w:p>
      <w:pPr>
        <w:ind w:firstLine="0"/>
        <w:jc w:val="left"/>
      </w:pPr>
      <w:r>
        <w:t>Заключение</w:t>
      </w:r>
    </w:p>
    <w:p>
      <w:pPr>
        <w:ind w:firstLine="0"/>
        <w:jc w:val="left"/>
      </w:pPr>
      <w:r>
        <w:t>Список используемых источников</w:t>
      </w:r>
    </w:p>
    <w:p>
      <w:pPr>
        <w:ind w:firstLine="0"/>
        <w:jc w:val="left"/>
      </w:pPr>
      <w:r>
        <w:t>Номера страниц можно обновить после открытия документа в Microsoft Word.</w:t>
      </w:r>
      <w:r>
        <w:br w:type="page"/>
      </w:r>
    </w:p>
    <w:p>
      <w:pPr>
        <w:pStyle w:val="Heading1"/>
        <w:spacing w:before="320" w:after="200"/>
        <w:ind w:firstLine="0"/>
        <w:jc w:val="center"/>
      </w:pPr>
      <w:r>
        <w:t>Введение</w:t>
      </w:r>
    </w:p>
    <w:p>
      <w:pPr>
        <w:jc w:val="both"/>
      </w:pPr>
      <w:r>
        <w:t>Суперкомпьютеры представляют собой вычислительные системы, предназначенные для решения задач, требующих исключительно высокой производительности и обработки больших объёмов данных. Их развитие связано с потребностями науки, обороны, промышленности, моделирования природных процессов и, в последние годы, искусственного интеллекта. История суперкомпьютерных технологий показывает, как менялись представления о скорости вычислений: от единичных мощных процессоров к огромным комплексам из множества взаимосвязанных вычислительных узлов [1, 15].</w:t>
      </w:r>
    </w:p>
    <w:p>
      <w:pPr>
        <w:jc w:val="both"/>
      </w:pPr>
      <w:r>
        <w:t>Актуальность темы обусловлена тем, что возможности суперкомпьютеров определяют скорость разработки новых материалов, лекарств, инженерных изделий и методов прогнозирования. Производительность современных систем зависит уже не только от частоты процессора, но и от архитектуры памяти, сети обмена данными, программного обеспечения и энергетической эффективности [8, 18].</w:t>
      </w:r>
    </w:p>
    <w:p>
      <w:pPr>
        <w:jc w:val="both"/>
      </w:pPr>
      <w:r>
        <w:t>Цель реферата — проследить основные этапы развития суперкомпьютерных технологий, выявить ключевые архитектурные переходы и оценить современные направления развития. Для достижения цели рассматриваются истоки высокопроизводительных вычислений, векторные машины, многопроцессорные комплексы, распределённые вычисления, российская школа разработки ЭВМ и становление экзафлопсных систем.</w:t>
      </w:r>
    </w:p>
    <w:p>
      <w:pPr>
        <w:pStyle w:val="Heading1"/>
        <w:spacing w:before="320" w:after="200"/>
        <w:ind w:firstLine="0"/>
        <w:jc w:val="center"/>
      </w:pPr>
      <w:r>
        <w:t>Аналитическая часть</w:t>
      </w:r>
    </w:p>
    <w:p>
      <w:pPr>
        <w:jc w:val="both"/>
      </w:pPr>
      <w:r>
        <w:rPr>
          <w:b/>
        </w:rPr>
        <w:t>1. Понятие суперкомпьютера и принципы оценки производительности.</w:t>
      </w:r>
      <w:r>
        <w:t xml:space="preserve"> Понятие суперкомпьютера исторически является относительным: машина, считавшаяся сверхбыстрой в одну эпоху, спустя несколько десятилетий может уступать массовому компьютеру. Поэтому более объективным ориентиром служат сравнимые результаты вычислительных тестов. С 1993 года международный рейтинг TOP500 использует производительность в тесте LINPACK; история рейтинга позволяет проследить переход от гигафлопсных к петафлопсным и экзафлопсным системам [15–18]. При этом показатель FLOPS характеризует число операций с плавающей запятой в секунду, но не полностью отражает эффективность любой прикладной задачи: реальное время решения зависит от характера вычислений, памяти и коммуникаций.</w:t>
      </w:r>
    </w:p>
    <w:p>
      <w:pPr>
        <w:jc w:val="both"/>
      </w:pPr>
      <w:r>
        <w:rPr>
          <w:b/>
        </w:rPr>
        <w:t>2. Предпосылки возникновения высокопроизводительных ЭВМ.</w:t>
      </w:r>
      <w:r>
        <w:t xml:space="preserve"> Первые электронные машины создавались в условиях высокой стоимости элементной базы и ограниченного объёма памяти. В СССР школа академика С. А. Лебедева сформировала важное направление развития быстродействующих вычислительных машин. Уже на ранних этапах исследователи стремились совмещать операции, организовывать эффективное обращение к памяти и повышать надёжность сложного оборудования. Исторические обзоры отечественной вычислительной техники свидетельствуют, что развитие аппаратуры сопровождалось созданием языков программирования, трансляторов и операционных систем [3, 4, 14].</w:t>
      </w:r>
    </w:p>
    <w:p>
      <w:pPr>
        <w:jc w:val="both"/>
      </w:pPr>
      <w:r>
        <w:rPr>
          <w:b/>
        </w:rPr>
        <w:t>3. Эпоха специализированных высокоскоростных архитектур.</w:t>
      </w:r>
      <w:r>
        <w:t xml:space="preserve"> В 1960–1970-е годы основными путями повышения производительности становились усложнение устройства обработки и параллелизм выполнения команд. В мировой истории важными вехами считаются CDC 6600 и векторные машины семейства Cray. Концепция векторной обработки позволяла применять одну инструкцию к множеству элементов массива, что особенно эффективно для численных расчётов. Вместе с тем такие машины требовали специальной организации данных и оптимизации вычислительных программ. В последующих рейтингах TOP500 векторные компьютеры постепенно уступали место системам с большим числом процессоров [15, 17].</w:t>
      </w:r>
    </w:p>
    <w:p>
      <w:pPr>
        <w:jc w:val="both"/>
      </w:pPr>
      <w:r>
        <w:rPr>
          <w:b/>
        </w:rPr>
        <w:t>4. БЭСМ-6 и достижения отечественной школы.</w:t>
      </w:r>
      <w:r>
        <w:t xml:space="preserve"> Одним из наиболее значимых советских проектов стала БЭСМ-6, разработанная под руководством С. А. Лебедева. Машина была рассчитана на научно-технические вычисления и использовала совмещение этапов выполнения команд — подход, близкий современному понятию конвейеризации. По сведениям Виртуального компьютерного музея, разработка была завершена в 1967 году, а серийный выпуск начался в 1968 году; среднее быстродействие составляло до миллиона одноадресных команд в секунду [1, 2]. Эти показатели нельзя напрямую сопоставлять с современными FLOPS, однако они показывают масштаб инженерного достижения для своей эпохи.</w:t>
      </w:r>
    </w:p>
    <w:p>
      <w:pPr>
        <w:jc w:val="both"/>
      </w:pPr>
      <w:r>
        <w:rPr>
          <w:b/>
        </w:rPr>
        <w:t>5. Роль программного обеспечения.</w:t>
      </w:r>
      <w:r>
        <w:t xml:space="preserve"> История БЭСМ-6 демонстрирует, что аппаратная производительность не имеет практической ценности без языков, библиотек, диагностических средств и операционных систем. Для машины создавались различные системы, включая ДИСПАК, а также трансляторы и специализированное программное обеспечение. Исследования истории ДИСПАК отмечают её распространённость в советских вычислительных центрах [7, 11, 12]. Этот опыт сохраняет значение: современные суперкомпьютерные приложения также требуют сочетания эффективных алгоритмов и аппаратной архитектуры.</w:t>
      </w:r>
    </w:p>
    <w:p>
      <w:pPr>
        <w:jc w:val="both"/>
      </w:pPr>
      <w:r>
        <w:rPr>
          <w:b/>
        </w:rPr>
        <w:t>6. Многомашинные и многопроцессорные системы.</w:t>
      </w:r>
      <w:r>
        <w:t xml:space="preserve"> Следующим этапом стало объединение вычислительных ресурсов. В отличие от подхода, основанного только на ускорении одного процессора, многопроцессорная архитектура позволяет распределять крупную задачу между исполнителями. История Единой системы ЭВМ и комплексов программ реального времени отражает усложнение вычислительной инфраструктуры: важную роль начали играть совместимость машин, обмен информацией и организация работы больших программных комплексов [5, 13]. Вместе с ростом числа процессов появились новые трудности — синхронизация, распределение памяти, балансировка нагрузки и отказоустойчивость.</w:t>
      </w:r>
    </w:p>
    <w:p>
      <w:pPr>
        <w:jc w:val="both"/>
      </w:pPr>
      <w:r>
        <w:rPr>
          <w:b/>
        </w:rPr>
        <w:t>7. Массово-параллельные системы и кластеры.</w:t>
      </w:r>
      <w:r>
        <w:t xml:space="preserve"> В конце XX века распространение получили суперкомпьютеры, состоявшие из большого числа сравнительно типовых процессоров, соединённых высокоскоростными сетями. В июне 1993 года первым лидером TOP500 стала система CM-5 с 1024 процессорами и результатом 59,7 гигафлопс в LINPACK [16]. Подобные архитектуры показали, что производительность можно наращивать за счёт масштабирования числа вычислительных элементов. Однако выигрыш возможен лишь при достаточной параллельности задачи; значительная доля обменов данными может ограничивать ускорение.</w:t>
      </w:r>
    </w:p>
    <w:p>
      <w:pPr>
        <w:jc w:val="both"/>
      </w:pPr>
      <w:r>
        <w:rPr>
          <w:b/>
        </w:rPr>
        <w:t>8. Развитие суперкомпьютерных центров в России.</w:t>
      </w:r>
      <w:r>
        <w:t xml:space="preserve"> Российская практика демонстрирует переход от отдельных ЭВМ к крупным вычислительным комплексам при университетах и научных центрах. Существенный вклад внёс Московский государственный университет имени М. В. Ломоносова. Согласно материалам НИВЦ МГУ, основу суперкомпьютерного комплекса составляет система «Ломоносов-2», применяемая сотрудниками университета и исследовательских организаций для научных задач [8, 9]. Пользователям подобных центров необходимы регламенты доступа, системы планирования заданий и средства контроля потребления ресурсов [10].</w:t>
      </w:r>
    </w:p>
    <w:p>
      <w:pPr>
        <w:jc w:val="both"/>
      </w:pPr>
      <w:r>
        <w:rPr>
          <w:b/>
        </w:rPr>
        <w:t>9. Переход к петафлопсным и экзафлопсным вычислениям.</w:t>
      </w:r>
      <w:r>
        <w:t xml:space="preserve"> С ростом масштабов параллелизма появились системы с производительностью в квадриллионы операций с плавающей запятой в секунду, а затем — системы экзафлопсного уровня. В современном рейтинге TOP500 одновременно представлены комплексы на центральных процессорах и системы с мощными ускорителями [18]. Показатель производительности определяется не только количеством процессорных ядер: значимыми факторами стали пропускная способность памяти, межсоединений и уровень энергопотребления. Рейтинг за июнь 2026 года иллюстрирует высокую конкуренцию различных архитектур в экзафлопсном диапазоне [18].</w:t>
      </w:r>
    </w:p>
    <w:p>
      <w:pPr>
        <w:jc w:val="both"/>
      </w:pPr>
      <w:r>
        <w:rPr>
          <w:b/>
        </w:rPr>
        <w:t>10. Значение ускорителей и специализированных вычислений.</w:t>
      </w:r>
      <w:r>
        <w:t xml:space="preserve"> Применение графических ускорителей связано с тем, что многие научные алгоритмы содержат большое число однотипных операций, допускающих одновременное выполнение. Ускорители особенно востребованы в численном моделировании, вычислительной химии и машинном обучении. Однако высокая пиковая производительность сама по себе недостаточна: вычислительная задача должна быть адаптирована к архитектуре, а данные — эффективно передаваться между памятью и вычислительными устройствами. Современные рейтинги отражают разнообразие таких аппаратных сочетаний [18, 20].</w:t>
      </w:r>
    </w:p>
    <w:p>
      <w:pPr>
        <w:jc w:val="both"/>
      </w:pPr>
      <w:r>
        <w:rPr>
          <w:b/>
        </w:rPr>
        <w:t>11. Энергетические и технологические ограничения.</w:t>
      </w:r>
      <w:r>
        <w:t xml:space="preserve"> Повышение производительности сопровождается ростом сложности системы электропитания, охлаждения и управления неисправностями. Для практического использования суперкомпьютера важна не только максимальная скорость вычислений, но и соотношение производительности и потребляемой энергии. Кроме того, создание специализированного программного обеспечения требует больших затрат: программы должны поддерживать параллелизм, эффективно взаимодействовать с иерархией памяти и сохранять корректность при исполнении на множестве узлов. Исторический переход от векторных машин к кластерам и ускорителям показывает, что аппаратное и программное развитие неразделимы [17, 18].</w:t>
      </w:r>
    </w:p>
    <w:p>
      <w:pPr>
        <w:jc w:val="both"/>
      </w:pPr>
      <w:r>
        <w:rPr>
          <w:b/>
        </w:rPr>
        <w:t>12. Перспективы дальнейшего развития.</w:t>
      </w:r>
      <w:r>
        <w:t xml:space="preserve"> Современные суперкомпьютерные технологии развиваются в направлении гибридных архитектур, использования специализированных ускорителей и повышения энергоэффективности. Одновременно растёт значение программных инструментов для параллельного программирования, управления данными и устойчивости вычислений. Перспективные задачи включают моделирование климата, создание материалов с заданными свойствами, биомедицинские расчёты и разработку искусственного интеллекта. Исторический опыт показывает, что устойчивое развитие возможно лишь при согласованном совершенствовании оборудования, алгоритмов и подготовки специалистов [8, 9, 18].</w:t>
      </w:r>
    </w:p>
    <w:p>
      <w:pPr>
        <w:pStyle w:val="Heading1"/>
        <w:spacing w:before="320" w:after="200"/>
        <w:ind w:firstLine="0"/>
        <w:jc w:val="center"/>
      </w:pPr>
      <w:r>
        <w:t>Заключение</w:t>
      </w:r>
    </w:p>
    <w:p>
      <w:pPr>
        <w:jc w:val="both"/>
      </w:pPr>
      <w:r>
        <w:t>В ходе исследования установлено, что история суперкомпьютерных технологий представляет собой последовательную смену архитектурных подходов. На ранних этапах инженеры добивались высокой скорости за счёт совершенствования отдельных вычислительных устройств и организации последовательного выполнения команд. Векторные машины сделали эффективной обработку больших массивов числовых данных. Позднее основным направлением стало массовое распараллеливание вычислений и построение кластеров, объединяющих тысячи и миллионы вычислительных элементов [15–18].</w:t>
      </w:r>
    </w:p>
    <w:p>
      <w:pPr>
        <w:jc w:val="both"/>
      </w:pPr>
      <w:r>
        <w:t>Российская школа внесла значительный вклад в развитие высокопроизводительной вычислительной техники. Пример БЭСМ-6 показывает важность конвейерной обработки, инженерной надёжности и развитого программного обеспечения; современные университетские суперкомпьютерные комплексы продолжают обеспечивать фундаментальные и прикладные исследования [1, 2, 7, 8].</w:t>
      </w:r>
    </w:p>
    <w:p>
      <w:pPr>
        <w:jc w:val="both"/>
      </w:pPr>
      <w:r>
        <w:t>Таким образом, дальнейшее развитие суперкомпьютеров будет определяться не только ростом вычислительной мощности, но и эффективностью взаимодействия процессоров, ускорителей, памяти и программных средств. Для успешного применения высокопроизводительных вычислений необходимы современные архитектурные решения, подготовка специалистов и совершенствование параллельных алгоритмов.</w:t>
      </w:r>
    </w:p>
    <w:p>
      <w:pPr>
        <w:pStyle w:val="Heading1"/>
        <w:pageBreakBefore/>
        <w:spacing w:before="320" w:after="200"/>
        <w:ind w:firstLine="0"/>
        <w:jc w:val="center"/>
      </w:pPr>
      <w:r>
        <w:t>Список используемых источников</w:t>
      </w:r>
    </w:p>
    <w:p>
      <w:pPr>
        <w:ind w:hanging="369" w:left="369"/>
        <w:jc w:val="both"/>
      </w:pPr>
      <w:r>
        <w:t xml:space="preserve">1. Машина электронная вычислительная общего назначения БЭСМ-6. — Электронный ресурс. — URL: </w:t>
      </w:r>
      <w:r>
        <w:rPr>
          <w:u w:val="single"/>
        </w:rPr>
        <w:t>https://www.computer-museum.ru/histussr/28-1.htm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2. Смирнов В. И. Разработка ЭВМ БЭСМ-6. — Электронный ресурс. — URL: </w:t>
      </w:r>
      <w:r>
        <w:rPr>
          <w:u w:val="single"/>
        </w:rPr>
        <w:t>https://www.computer-museum.ru/histussr/besm6.htm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3. Москва компьютерная. — Электронный ресурс. — URL: </w:t>
      </w:r>
      <w:r>
        <w:rPr>
          <w:u w:val="single"/>
        </w:rPr>
        <w:t>https://www.computer-museum.ru/histussr/moscomp.htm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4. История отечественной вычислительной техники: БЭСМ-6. — Электронный ресурс. — URL: </w:t>
      </w:r>
      <w:r>
        <w:rPr>
          <w:u w:val="single"/>
        </w:rPr>
        <w:t>https://www.computer-museum.ru/books/7.htm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5. Левин В. К. Очерк становления Единой системы ЭВМ. — Электронный ресурс. — URL: </w:t>
      </w:r>
      <w:r>
        <w:rPr>
          <w:u w:val="single"/>
        </w:rPr>
        <w:t>https://www.computer-museum.ru/histussr/es_levin.htm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6. БЭСМ-6. Техническая часть. Система элементов. — Электронный ресурс. — URL: </w:t>
      </w:r>
      <w:r>
        <w:rPr>
          <w:u w:val="single"/>
        </w:rPr>
        <w:t>https://www.computer-museum.ru/biblioteka/publication/9591/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7. Балакирев Н. Е., Бартенев Ю. Г., Зельдинова С. А. О системе ДИСПАК. — Электронный ресурс. — URL: </w:t>
      </w:r>
      <w:r>
        <w:rPr>
          <w:u w:val="single"/>
        </w:rPr>
        <w:t>https://www.computer-museum.ru/articles/materialy-mezhdunarodnoy-konferentsii-sorucom-2023/6534/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8. НИВЦ МГУ. Суперкомпьютерный комплекс МГУ. — Электронный ресурс. — URL: </w:t>
      </w:r>
      <w:r>
        <w:rPr>
          <w:u w:val="single"/>
        </w:rPr>
        <w:t>https://rcc.msu.ru/ru/superkompyuternyy-kompleks-mgu-yavlyaetsya-samym-moshchnym-v-nauke-i-obrazovanii-rossii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9. НИВЦ МГУ. Информационно-вычислительные ресурсы. — Электронный ресурс. — URL: </w:t>
      </w:r>
      <w:r>
        <w:rPr>
          <w:u w:val="single"/>
        </w:rPr>
        <w:t>https://rcc.msu.ru/ru/node/38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10. ВМК МГУ. Регламент доступа к суперкомпьютерному комплексу. — Электронный ресурс. — URL: </w:t>
      </w:r>
      <w:r>
        <w:rPr>
          <w:u w:val="single"/>
        </w:rPr>
        <w:t>https://hpc.cs.msu.ru/regulations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11. Документация по БЭСМ-6. — Электронный ресурс. — URL: </w:t>
      </w:r>
      <w:r>
        <w:rPr>
          <w:u w:val="single"/>
        </w:rPr>
        <w:t>https://www.computer-museum.ru/articles/elektronnye-versii-knig/1421/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12. Подшивалов Д. Б. Автокод БЭСМ-6. Инструкция. 1969. — Электронный ресурс. — URL: </w:t>
      </w:r>
      <w:r>
        <w:rPr>
          <w:u w:val="single"/>
        </w:rPr>
        <w:t>https://computer-museum.ru/books/besm6_instruction.pdf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13. История развития комплексов программ реального времени. — Электронный ресурс. — URL: </w:t>
      </w:r>
      <w:r>
        <w:rPr>
          <w:u w:val="single"/>
        </w:rPr>
        <w:t>https://www.computer-museum.ru/histussr/histrts.htm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14. Виртуальный компьютерный музей. История вычислительной техники. — Электронный ресурс. — URL: </w:t>
      </w:r>
      <w:r>
        <w:rPr>
          <w:u w:val="single"/>
        </w:rPr>
        <w:t>https://computer-museum.ru/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15. TOP500. Celebrating 25 Years of TOP500. — Электронный ресурс. — URL: </w:t>
      </w:r>
      <w:r>
        <w:rPr>
          <w:u w:val="single"/>
        </w:rPr>
        <w:t>https://www.top500.org/25years/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16. TOP500. CM-5: Los Alamos National Lab. — Электронный ресурс. — URL: </w:t>
      </w:r>
      <w:r>
        <w:rPr>
          <w:u w:val="single"/>
        </w:rPr>
        <w:t>https://top500.org/resources/top-systems/cm-5-los-alamos-national-lab/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17. TOP500. The TOP500 Celebrates 20th Anniversary. — Электронный ресурс. — URL: </w:t>
      </w:r>
      <w:r>
        <w:rPr>
          <w:u w:val="single"/>
        </w:rPr>
        <w:t>https://www.top500.org/news/the-top500-celebrates-20th-anniversary-will-it-survive-20-more/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18. TOP500. June 2026 TOP500 List. — Электронный ресурс. — URL: </w:t>
      </w:r>
      <w:r>
        <w:rPr>
          <w:u w:val="single"/>
        </w:rPr>
        <w:t>https://www.top500.org/lists/top500/list/2026/06/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19. TOP500. TOP500 25th Anniversary, systems chronology. — Электронный ресурс. — URL: </w:t>
      </w:r>
      <w:r>
        <w:rPr>
          <w:u w:val="single"/>
        </w:rPr>
        <w:t>https://top500.org/25years/</w:t>
      </w:r>
      <w:r>
        <w:t xml:space="preserve"> (дата обращения: 24.10.2026).</w:t>
      </w:r>
    </w:p>
    <w:p>
      <w:pPr>
        <w:ind w:hanging="369" w:left="369"/>
        <w:jc w:val="both"/>
      </w:pPr>
      <w:r>
        <w:t xml:space="preserve">20. TOP500. Historical ranking and LINPACK methodology. — Электронный ресурс. — URL: </w:t>
      </w:r>
      <w:r>
        <w:rPr>
          <w:u w:val="single"/>
        </w:rPr>
        <w:t>https://www.top500.org/</w:t>
      </w:r>
      <w:r>
        <w:t xml:space="preserve"> (дата обращения: 24.10.2026).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