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УТВЕРЖДАЮ</w:t>
        <w:br/>
        <w:t>Должность: __________________</w:t>
        <w:br/>
        <w:t>ФИО: _______________________</w:t>
        <w:br/>
        <w:t>«____» ______________ 20___ г.</w:t>
      </w:r>
    </w:p>
    <w:p/>
    <w:p>
      <w:pPr>
        <w:pStyle w:val="Title"/>
      </w:pPr>
      <w:r>
        <w:t>СТАНДАРТ РАБОТЫ</w:t>
        <w:br/>
        <w:t>Методика подготовки спецификации</w:t>
        <w:br/>
        <w:t>в AI CECT rev.33</w:t>
      </w:r>
    </w:p>
    <w:p>
      <w:r>
        <w:t>ОП «НТЦ «Интайр» в г. Ульяновске</w:t>
        <w:br/>
        <w:t>ООО «НТЦ «Интайр»</w:t>
      </w:r>
    </w:p>
    <w:p>
      <w:r>
        <w:t>Статус: проект для согласования</w:t>
        <w:br/>
        <w:t>Редакция: 3.0 от 29.10.2026</w:t>
        <w:br/>
        <w:t>Обозначение стандарта: присваивается при утверждении</w:t>
      </w:r>
    </w:p>
    <w:p>
      <w:r>
        <w:t>Цель: воспроизводимая подготовка проекта — от исходных данных до проверенного комплекта и подтверждённой записи в базе при выполнении условий допуска.</w:t>
      </w:r>
    </w:p>
    <w:p>
      <w:r>
        <w:t>Разработал: __________________  Проверил: __________________</w:t>
        <w:br/>
        <w:t>Дата ввода в действие: __________________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100"/>
      </w:pPr>
      <w:r>
        <w:t>01. Назначение, границы и ответственность</w:t>
      </w:r>
    </w:p>
    <w:p>
      <w:pPr>
        <w:spacing w:after="100"/>
      </w:pPr>
      <w:r>
        <w:t>02. Логика работы и источники данных</w:t>
      </w:r>
    </w:p>
    <w:p>
      <w:pPr>
        <w:spacing w:after="100"/>
      </w:pPr>
      <w:r>
        <w:t>03. Подготовка рабочей копии и комплект проекта</w:t>
      </w:r>
    </w:p>
    <w:p>
      <w:pPr>
        <w:spacing w:after="100"/>
      </w:pPr>
      <w:r>
        <w:t>04. Проверка и перенос карты BETA CECT</w:t>
      </w:r>
    </w:p>
    <w:p>
      <w:pPr>
        <w:spacing w:after="100"/>
      </w:pPr>
      <w:r>
        <w:t>05. Start: идентификация и выбор конструкции</w:t>
      </w:r>
    </w:p>
    <w:p>
      <w:pPr>
        <w:spacing w:after="100"/>
      </w:pPr>
      <w:r>
        <w:t>06. Start: правила ручных переопределений</w:t>
      </w:r>
    </w:p>
    <w:p>
      <w:pPr>
        <w:spacing w:after="100"/>
      </w:pPr>
      <w:r>
        <w:t>07. Определение рабочих ширин и BSW</w:t>
      </w:r>
    </w:p>
    <w:p>
      <w:pPr>
        <w:spacing w:after="100"/>
      </w:pPr>
      <w:r>
        <w:t>08. CTLO и подготовка геометрии компонентов</w:t>
      </w:r>
    </w:p>
    <w:p>
      <w:pPr>
        <w:spacing w:after="100"/>
      </w:pPr>
      <w:r>
        <w:t>09. Drawing: ввод размеров и построение схемы</w:t>
      </w:r>
    </w:p>
    <w:p>
      <w:pPr>
        <w:spacing w:after="100"/>
      </w:pPr>
      <w:r>
        <w:t>10. Drawing: контроль зазоров и применимости</w:t>
      </w:r>
    </w:p>
    <w:p>
      <w:pPr>
        <w:spacing w:after="100"/>
      </w:pPr>
      <w:r>
        <w:t>11. TOOLS: подбор оснастки и проверка ограничений</w:t>
      </w:r>
    </w:p>
    <w:p>
      <w:pPr>
        <w:spacing w:after="100"/>
      </w:pPr>
      <w:r>
        <w:t>12. Feasibility Check Sheet: оценка осуществимости</w:t>
      </w:r>
    </w:p>
    <w:p>
      <w:pPr>
        <w:spacing w:after="100"/>
      </w:pPr>
      <w:r>
        <w:t>13. Pre-TR: подготовка решения по проекту</w:t>
      </w:r>
    </w:p>
    <w:p>
      <w:pPr>
        <w:spacing w:after="100"/>
      </w:pPr>
      <w:r>
        <w:t>14. Plant spec: материалы и контуры</w:t>
      </w:r>
    </w:p>
    <w:p>
      <w:pPr>
        <w:spacing w:after="100"/>
      </w:pPr>
      <w:r>
        <w:t>15. Plant spec: сборка, вулканизация и выдача</w:t>
      </w:r>
    </w:p>
    <w:p>
      <w:pPr>
        <w:spacing w:after="100"/>
      </w:pPr>
      <w:r>
        <w:t>16. База TR/DR: фактическая логика макроса</w:t>
      </w:r>
    </w:p>
    <w:p>
      <w:pPr>
        <w:spacing w:after="100"/>
      </w:pPr>
      <w:r>
        <w:t>17. База TR/DR: порядок допуска и проверки записи</w:t>
      </w:r>
    </w:p>
    <w:p>
      <w:pPr>
        <w:spacing w:after="100"/>
      </w:pPr>
      <w:r>
        <w:t>18. Контрольный разбор предоставленного примера</w:t>
      </w:r>
    </w:p>
    <w:p>
      <w:pPr>
        <w:spacing w:after="100"/>
      </w:pPr>
      <w:r>
        <w:t>19. Повторные проверки при изменении проекта</w:t>
      </w:r>
    </w:p>
    <w:p>
      <w:pPr>
        <w:spacing w:after="100"/>
      </w:pPr>
      <w:r>
        <w:t>20. Типовые ошибки и порядок диагностики</w:t>
      </w:r>
    </w:p>
    <w:p>
      <w:pPr>
        <w:spacing w:after="100"/>
      </w:pPr>
      <w:r>
        <w:t>21. Контроль выдачи и состав подтверждений</w:t>
      </w:r>
    </w:p>
    <w:p>
      <w:pPr>
        <w:spacing w:after="100"/>
      </w:pPr>
      <w:r>
        <w:t>22. Формы записей и границы проверки методики</w:t>
      </w:r>
    </w:p>
    <w:p>
      <w:pPr>
        <w:pStyle w:val="Caption"/>
      </w:pPr>
      <w:r>
        <w:t>В Word используется собственная нумерация страниц. Номера листов Excel приведены в содержании Excel-версии.</w:t>
      </w:r>
    </w:p>
    <w:p>
      <w:r>
        <w:br w:type="page"/>
      </w:r>
    </w:p>
    <w:p>
      <w:pPr>
        <w:pStyle w:val="Heading1"/>
      </w:pPr>
      <w:r>
        <w:t>01. Назначение, границы и ответственность</w:t>
      </w:r>
    </w:p>
    <w:p>
      <w:r>
        <w:t>Методика устанавливает порядок подготовки, проверки, согласования и выдачи данных сборочной спецификации с применением книги AI CECT rev.33. Результат работы — прослеживаемый комплект проекта, согласованные формы и, при отдельном выполнении условий, подтверждённая запись в базе TR/DR.</w:t>
      </w:r>
    </w:p>
    <w:p>
      <w:r>
        <w:t>Основание: файл «AI CECT rev.33 (новый формат) с БД.xlsm» и предоставленная инструкция по подготовке спецификации на участке сборки. Последовательность ниже сформирована по фактическим формулам, полям и коду VBA rev.33.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Функция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Разработчик проекта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Проверяет исходные документы, вводит данные, выполняет расчёты, фиксирует изменения и готовит комплект.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Проверяющий специалист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Независимо сверяет источники, применимость норм, расчётные результаты и согласованность форм.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Уполномоченный руководитель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Принимает решение о допуске проекта и утверждении документов в пределах своих полномочий.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Владелец книги и базы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Поддерживает формулы, справочники, внешние связи и VBA; устраняет программные несоответствия.</w:t>
            </w:r>
          </w:p>
        </w:tc>
      </w:tr>
    </w:tbl>
    <w:p>
      <w:pPr>
        <w:spacing w:after="40"/>
      </w:pPr>
    </w:p>
    <w:p>
      <w:r>
        <w:t>Конкретные должности, сроки и полномочия назначаются организацией. Документ имеет статус проекта; номер стандарта и дату ввода в действие присваивают при утверждении.</w:t>
      </w:r>
    </w:p>
    <w:p>
      <w:pPr>
        <w:shd w:val="clear" w:fill="E8EEF5"/>
      </w:pPr>
      <w:r>
        <w:rPr>
          <w:color w:val="17365D"/>
          <w:sz w:val="20"/>
        </w:rPr>
        <w:t>Методика не назначает новые технологические допуски. Значения в расчётной книге и приведённые примеры применяются только после проверки их соответствия актуальной НКТД и действующим нормативам.</w:t>
      </w:r>
    </w:p>
    <w:p>
      <w:r>
        <w:br w:type="page"/>
      </w:r>
    </w:p>
    <w:p>
      <w:pPr>
        <w:pStyle w:val="Heading1"/>
      </w:pPr>
      <w:r>
        <w:t>02. Логика работы и источники данных</w:t>
      </w:r>
    </w:p>
    <w:p>
      <w:pPr>
        <w:pStyle w:val="Heading2"/>
      </w:pPr>
      <w:r>
        <w:t>Основной маршрут</w:t>
      </w:r>
    </w:p>
    <w:p>
      <w:r>
        <w:t>Исходные документы → BETA CECT → Start → CTLO и предварительный Drawing → TOOLS → Feasibility Check Sheet → уточнение проекта → Pre-TR/DR → окончательный Plant spec → контроль выдачи. Запись в базу TR/DR выполняется отдельной операцией.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Слой данных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НКТД/ККТ, CTLO, нормы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Определяют утверждённые исходные требования. Проверять номер, ревизию и применимость.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BETA CECT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Содержит перенесённую карту и вспомогательные формулы разбора. Проверять соответствие исходному документу.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Start и поля переопределения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Задают выбранную конструкцию, материалы и рабочие параметры. Отличать исходное значение от согласованной корректировки.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Drawing, TOOLS, Вычисления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Рассчитывают и отображают следствия выбранных параметров. Не заменять формулы ожидаемыми числами.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Feasibility, Pre-TR, Plant spec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Содержат проверки и выдаваемые сведения. Подтверждать происхождение каждого критичного результата.</w:t>
            </w:r>
          </w:p>
        </w:tc>
      </w:tr>
    </w:tbl>
    <w:p>
      <w:pPr>
        <w:spacing w:after="40"/>
      </w:pPr>
    </w:p>
    <w:p>
      <w:pPr>
        <w:pStyle w:val="Heading2"/>
      </w:pPr>
      <w:r>
        <w:t>Иерархия при расхождении</w:t>
      </w:r>
    </w:p>
    <w:p>
      <w:r>
        <w:t>Выявить источник, рабочее переопределение и формулу результата. Установить причину различия, согласовать решение и обновить затронутые формы. Параметр не становится утверждённым только потому, что он рассчитан автоматически или уже присутствует в заполненном примере.</w:t>
      </w:r>
    </w:p>
    <w:p>
      <w:r>
        <w:t>После изменения конструкции или размеров повторить цепочку Drawing → TOOLS → Feasibility. К Plant spec возвращаться после фиксации решения, проверяя также ручные поля этой формы.</w:t>
      </w:r>
    </w:p>
    <w:p>
      <w:pPr>
        <w:pStyle w:val="Heading2"/>
      </w:pPr>
      <w:r>
        <w:t>Служебные листы и сравнение</w:t>
      </w:r>
    </w:p>
    <w:p>
      <w:r>
        <w:t>«Вычисления», «Бандаж», «Перенос данных», Conditions и Spiral constr содержат расчётные или служебные зависимости. FI и Notification — дополнительные формы. Их изменение относится к сопровождению книги; для обычной подготовки проекта использовать предусмотренные поля основных листов.</w:t>
      </w:r>
    </w:p>
    <w:p>
      <w:r>
        <w:t>Лист «Сравнение с old size» в предоставленной копии выводит текущие параметры в столбец D. Он сам по себе не подтверждает автоматическое сравнение с утверждённым аналогом: источник и ревизию аналога необходимо установить отдельно.</w:t>
      </w:r>
    </w:p>
    <w:p>
      <w:r>
        <w:br w:type="page"/>
      </w:r>
    </w:p>
    <w:p>
      <w:pPr>
        <w:pStyle w:val="Heading1"/>
      </w:pPr>
      <w:r>
        <w:t>03. Подготовка рабочей копии и комплект проекта</w:t>
      </w:r>
    </w:p>
    <w:p>
      <w:pPr>
        <w:pStyle w:val="Heading2"/>
      </w:pPr>
      <w:r>
        <w:t>До ввода данных</w:t>
      </w:r>
    </w:p>
    <w:p>
      <w:r>
        <w:t>1. Создать рабочую копию исходного XLSM. В имени указать код проекта, типоразмер и ревизию. Исходный шаблон хранить отдельно. Сохранение в XLSX исключает сохранность VBA, поэтому расчётная рабочая книга должна оставаться в формате XLSM.</w:t>
      </w:r>
    </w:p>
    <w:p>
      <w:r>
        <w:t>2. Подготовить актуальные НКТД/ККТ, CTLO, перечень материалов и оснастки, производственные коды, условия вулканизации и испытаний, решения по аналогам и контурам AICONTOUR при их применимости.</w:t>
      </w:r>
    </w:p>
    <w:p>
      <w:r>
        <w:t>3. Открыть копию в настольном Excel с поддержкой XLSM. Проверить режим вычислений, доверенность файла и уведомления о внешних связях. Макросы разрешать только по принятому в организации порядку.</w:t>
      </w:r>
    </w:p>
    <w:p>
      <w:r>
        <w:t>4. Проверить доступ к источнику Responsible person (Кордиант).xlsx и связанному в книге файлу AI CECT rev 24 IC17 QT#1.xlsm. Установить, какие данные получены из каждого источника и актуальны ли они.</w:t>
      </w:r>
    </w:p>
    <w:p>
      <w:r>
        <w:t>5. Выполнить полный пересчёт Ctrl+Alt+F9 и зарегистрировать исходные ошибки. Сохранённые в файле результаты могут не соответствовать текущим формулам или доступным внешним данным.</w:t>
      </w:r>
    </w:p>
    <w:p>
      <w:pPr>
        <w:pStyle w:val="Heading2"/>
      </w:pPr>
      <w:r>
        <w:t>Контрольная запись</w:t>
      </w:r>
    </w:p>
    <w:p>
      <w:r>
        <w:t>В журнале проекта указать имя рабочего файла, код и ревизию проекта, реквизиты НКТД/CTLO, дату проверки внешних источников, исполнителя и перечень выявленных ограничений.</w:t>
      </w:r>
    </w:p>
    <w:p>
      <w:pPr>
        <w:shd w:val="clear" w:fill="E8EEF5"/>
      </w:pPr>
      <w:r>
        <w:rPr>
          <w:color w:val="17365D"/>
          <w:sz w:val="20"/>
        </w:rPr>
        <w:t>Для записи в базу VBA дополнительно требует доступ к диску Y: и локальной папке C:\Temp. Эти условия не нужны для самого чтения книги, но необходимы для описанного в ней сценария выгрузки.</w:t>
      </w:r>
    </w:p>
    <w:p>
      <w:r>
        <w:br w:type="page"/>
      </w:r>
    </w:p>
    <w:p>
      <w:pPr>
        <w:pStyle w:val="Heading1"/>
      </w:pPr>
      <w:r>
        <w:t>04. Проверка и перенос карты BETA CECT</w:t>
      </w:r>
    </w:p>
    <w:p>
      <w:pPr>
        <w:pStyle w:val="Heading2"/>
      </w:pPr>
      <w:r>
        <w:t>Порядок действий</w:t>
      </w:r>
    </w:p>
    <w:p>
      <w:r>
        <w:t>1. Убедиться, что карта относится к выбранному типоразмеру и ревизии. Использовать согласованный способ переноса, совместимый с форматом rev.33. Не вставлять произвольный лист целиком поверх шаблона.</w:t>
      </w:r>
    </w:p>
    <w:p>
      <w:r>
        <w:t>2. Сверить ключевые поля по таблице. Проверять не только размерность, но и состав конструкции, единицы, условия испытаний и идентификацию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Контрольные адреса и содержание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Идентификация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J3 — спецификация; T3 — заявка; J5 — дата; T5 — ТЗ.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Типоразмер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B8 — размер; F8 — нагрузка/скорость; I8 — XL; K8 — модель; Q8 — сезонность; W8 — категория; AA8 — назначение.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Пресс-форма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H11:H13 — чертежи; X11 — OD; X12 — глубина; X13 — ширина и тип кольца.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Компоненты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Строки 18–38: материал K, конструкция N, ширина Q и толщина T — по применимости.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Сборка и вулканизация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AH19 — BSW; AH20 — WWD; AH21 — окружность BT; AH23 — режим; AH24/AH25 — PCI.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Геометрия CTLO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B85:D108 — толщины; T85:V111 — законцовки и положения; G56 — полная ширина TT.</w:t>
            </w:r>
          </w:p>
        </w:tc>
      </w:tr>
    </w:tbl>
    <w:p>
      <w:pPr>
        <w:spacing w:after="40"/>
      </w:pPr>
    </w:p>
    <w:p>
      <w:r>
        <w:t>3. Вспомогательные ячейки AX:BB содержат формулы разбора обозначений и параметров. Сохранять их при переносе. Например, AY8 получает сокращённое название рисунка из внешнего справочника pattern.</w:t>
      </w:r>
    </w:p>
    <w:p>
      <w:pPr>
        <w:pStyle w:val="Heading2"/>
      </w:pPr>
      <w:r>
        <w:t>Выход этапа</w:t>
      </w:r>
    </w:p>
    <w:p>
      <w:r>
        <w:t>Карта сверена с исходником, реквизиты документов зарегистрированы, значения Start связаны с текущей картой. Все несоответствия либо устранены в исходных данных, либо оформлены как вопрос разработчику.</w:t>
      </w:r>
    </w:p>
    <w:p>
      <w:r>
        <w:br w:type="page"/>
      </w:r>
    </w:p>
    <w:p>
      <w:pPr>
        <w:pStyle w:val="Heading1"/>
      </w:pPr>
      <w:r>
        <w:t>05. Start: идентификация и выбор конструкции</w:t>
      </w:r>
    </w:p>
    <w:p>
      <w:pPr>
        <w:pStyle w:val="Heading2"/>
      </w:pPr>
      <w:r>
        <w:t>Строка 3 — паспорт текущего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Адрес и способ получения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Размер, рисунок, нагрузка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B3 ← BETA CECT или D46; C3 ← AY8 или D47; E3 ← AX8 или D49.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Номер ККТ и PID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D3 ← BETA CECT!J3. F3 — отдельное поле PID; в предоставленном примере стоит «-».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Производственные коды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H3 — формула массива INDEX/MATCH по внешнему prod.code; G3, I3 и J3 — производные внешнего поиска.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OPC и OEM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K3 и P3 — поля выбора/ввода; сверять по проекту. Не оставлять A1/No только потому, что они есть в примере.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Кольцо и WWD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L3 и M3 — формулы; предусмотренные переопределения L4 и M4.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Конструкция и заворот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N3 ← BETA CECT или D51; O3 ← BETA CECT или D52. Проверять оба параметра совместно.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Тип/сезонность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Q3 формируется по BETA CECT, включая категорию SUV.</w:t>
            </w:r>
          </w:p>
        </w:tc>
      </w:tr>
    </w:tbl>
    <w:p>
      <w:pPr>
        <w:spacing w:after="40"/>
      </w:pPr>
    </w:p>
    <w:p>
      <w:r>
        <w:t>1. Сопоставить паспорт с НКТД и внешним справочником. Не заменять формулы H3, G3, I3 или J3 ручными кодами для устранения ошибки поиска.</w:t>
      </w:r>
    </w:p>
    <w:p>
      <w:r>
        <w:t>2. Проверить D15 — With CCH / Without CCH, D16 — второй BF, D18 — Flipper. D17 автоматически определяет TPI по N3; проверить результат, а не подменять его вручную.</w:t>
      </w:r>
    </w:p>
    <w:p>
      <w:r>
        <w:t>3. Сверить материал D14, брекер D19, угол D20, схему SL D21 и материал F21. Наличие слоя и его материал должны соответствовать выбранной конструкции.</w:t>
      </w:r>
    </w:p>
    <w:p>
      <w:pPr>
        <w:shd w:val="clear" w:fill="E8EEF5"/>
      </w:pPr>
      <w:r>
        <w:rPr>
          <w:color w:val="17365D"/>
          <w:sz w:val="20"/>
        </w:rPr>
        <w:t>Назначение OEM/Trade в исходной карте и значение поля OEM на Start связаны с одним проектом, но используют разные обозначения. Согласовать соответствие, не переносить слово Trade в поле Yes/No без проверки.</w:t>
      </w:r>
    </w:p>
    <w:p>
      <w:r>
        <w:br w:type="page"/>
      </w:r>
    </w:p>
    <w:p>
      <w:pPr>
        <w:pStyle w:val="Heading1"/>
      </w:pPr>
      <w:r>
        <w:t>06. Start: правила ручных переопределений</w:t>
      </w:r>
    </w:p>
    <w:p>
      <w:pPr>
        <w:pStyle w:val="Heading2"/>
      </w:pPr>
      <w:r>
        <w:t>Вводить изменение в предусмотренный источник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3193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Что изменить</w:t>
            </w:r>
          </w:p>
        </w:tc>
        <w:tc>
          <w:tcPr>
            <w:tcW w:type="dxa" w:w="2395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Поле ввода</w:t>
            </w:r>
          </w:p>
        </w:tc>
        <w:tc>
          <w:tcPr>
            <w:tcW w:type="dxa" w:w="4390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Что проверить после ввода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Размер / рисунок / нагрузку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D46 / D47 / D49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B3 / C3 / E3 и производственные коды.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Конструкцию / заворот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D51 / D52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N3 / O3, число каркасов и применимость TPI/CCH.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Каркас / брекер / BF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D56 / D59 / D60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D14 / D19 / D22, размеры и кодирование компонентов.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SW / AGS / CAP / BASE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D61 / D62 / D63 / D64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D12 / D13 / D23 / D24 и зависимые формы.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Угол / схему и материал SL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E20 / E21 / G21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D20 / D21 / F21.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Кольцо / WWD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L4 / M4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L3 / M3 и параметры борта.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Окружность BT / OD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E31 / E33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D31 / D33, BER и расчёты оснастки.</w:t>
            </w:r>
          </w:p>
        </w:tc>
      </w:tr>
      <w:tr>
        <w:trPr>
          <w:cantSplit/>
        </w:trPr>
        <w:tc>
          <w:tcPr>
            <w:tcW w:type="dxa" w:w="31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Ширину / тип кольца</w:t>
            </w:r>
          </w:p>
        </w:tc>
        <w:tc>
          <w:tcPr>
            <w:tcW w:type="dxa" w:w="23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E36 / E37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D36 / D37 и вулканизационные сведения.</w:t>
            </w:r>
          </w:p>
        </w:tc>
      </w:tr>
    </w:tbl>
    <w:p>
      <w:pPr>
        <w:spacing w:after="40"/>
      </w:pPr>
    </w:p>
    <w:p>
      <w:r>
        <w:t>Для каждого переопределения записать значение до/после, единицу, источник, причину и согласование. После ввода пересчитать книгу и проверить фактический результат в получателе.</w:t>
      </w:r>
    </w:p>
    <w:p>
      <w:pPr>
        <w:shd w:val="clear" w:fill="E8EEF5"/>
      </w:pPr>
      <w:r>
        <w:rPr>
          <w:color w:val="17365D"/>
          <w:sz w:val="20"/>
        </w:rPr>
        <w:t>В rev.33 Start!D26 (TTP) и D30 (I2) одновременно используют D71. Ввод TTP в D71 способен изменить также I2. До применения этого переопределения получить решение владельца книги; не обходить зависимость заменой формулы.</w:t>
      </w:r>
    </w:p>
    <w:p>
      <w:r>
        <w:t>Подписи PROJECT MODE не подтверждают работу всех соседних полей. Например, D48 и D50 не используются как переопределения в формулах D3 и F3. Поля D57, D58 и D65 также проверять по реальной цепочке, а не только по наличию подписи.</w:t>
      </w:r>
    </w:p>
    <w:p>
      <w:r>
        <w:br w:type="page"/>
      </w:r>
    </w:p>
    <w:p>
      <w:pPr>
        <w:pStyle w:val="Heading1"/>
      </w:pPr>
      <w:r>
        <w:t>07. Определение рабочих ширин и BSW</w:t>
      </w:r>
    </w:p>
    <w:p>
      <w:pPr>
        <w:pStyle w:val="Heading2"/>
      </w:pPr>
      <w:r>
        <w:t>Разделять требование ККТ, расчёт и выбранный рабочий размер</w:t>
      </w:r>
    </w:p>
    <w:p>
      <w:r>
        <w:t>1. Записать значения из BETA CECT. Затем проверить выбранный рабочий BSW на Start. Формула Вычисления!C202 использует Start!K17, если K17 &gt; 0; иначе применяется EVEN(Start!P16). Start!K16 получает C202, а Drawing!B10 — K16.</w:t>
      </w:r>
    </w:p>
    <w:p>
      <w:r>
        <w:t>2. K17 — предусмотренное ручное поле BSEE. Значение в нём имеет приоритет над автоматическим вариантом. Согласованность K17 с конструкцией и исходной картой подтверждать перед расчётом ширин.</w:t>
      </w:r>
    </w:p>
    <w:p>
      <w:r>
        <w:t>3. Проверить Start!K13/K14/K15 — расчётные ширины каркасов и IL. Drawing допускает отдельные переопределения; выдаваемый размер определять по фактическому результату Drawing, а не по первоначальной карте.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Требуемый результат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Формула-получатель / источник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IL в схеме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Drawing!B7 ← C7 при переопределении, иначе Start!K15.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Первый каркас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Drawing!B8 ← C8 при переопределении, иначе Start!K13.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Второй каркас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Drawing!B9 формируется для O3 = 2-0 с учётом C9.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Рабочий BSW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Drawing!B10 ← Start!K16; ручной ввод в B10 не предусмотрен формулой.</w:t>
            </w:r>
          </w:p>
        </w:tc>
      </w:tr>
    </w:tbl>
    <w:p>
      <w:pPr>
        <w:spacing w:after="40"/>
      </w:pPr>
    </w:p>
    <w:p>
      <w:pPr>
        <w:pStyle w:val="Heading2"/>
      </w:pPr>
      <w:r>
        <w:t>Контрольный пример</w:t>
      </w:r>
    </w:p>
    <w:p>
      <w:r>
        <w:t>В предоставленной копии BETA CECT!AH19 = 368 мм, Start!K17 и K16 = 370 мм. Для первого каркаса ККТ задаёт 480 мм, а Start!K13 и Drawing!B8 содержат 485 мм. Различие само по себе не доказывает ошибку: требуется установить расчётное основание и зарегистрировать решение.</w:t>
      </w:r>
    </w:p>
    <w:p>
      <w:pPr>
        <w:shd w:val="clear" w:fill="E8EEF5"/>
      </w:pPr>
      <w:r>
        <w:rPr>
          <w:color w:val="17365D"/>
          <w:sz w:val="20"/>
        </w:rPr>
        <w:t>BSW и TTP — разные поля. В Pre-TR они отдельно выводятся в T12 и O12. Совпадение числа в отдельных проектах не позволяет считать эти параметры взаимозаменяемыми.</w:t>
      </w:r>
    </w:p>
    <w:p>
      <w:r>
        <w:br w:type="page"/>
      </w:r>
    </w:p>
    <w:p>
      <w:pPr>
        <w:pStyle w:val="Heading1"/>
      </w:pPr>
      <w:r>
        <w:t>08. CTLO и подготовка геометрии компонентов</w:t>
      </w:r>
    </w:p>
    <w:p>
      <w:pPr>
        <w:pStyle w:val="Heading2"/>
      </w:pPr>
      <w:r>
        <w:t>Входные данные</w:t>
      </w:r>
    </w:p>
    <w:p>
      <w:r>
        <w:t>Актуальный CTLO, ККТ и согласованная конструкция. Перед измерением проверить номер чертежа, ревизию, единицы и масштаб. Для печати/изображения масштаб подтвердить по известному размеру; экранные 100 % не являются подтверждением масштаба.</w:t>
      </w:r>
    </w:p>
    <w:p>
      <w:pPr>
        <w:pStyle w:val="Heading2"/>
      </w:pPr>
      <w:r>
        <w:t>Порядок работы</w:t>
      </w:r>
    </w:p>
    <w:p>
      <w:r>
        <w:t>1. Выписать требуемые толщины, положения законцовок, TTP, OD, параметры борта и точки измерения. Для каждой величины сохранить ссылку на исходный чертёж или ячейку карты.</w:t>
      </w:r>
    </w:p>
    <w:p>
      <w:r>
        <w:t>2. Отдельно определить ширины и установки сырых компонентов. Не переносить размер готовой шины непосредственно в поле сырого профиля без применимой методики расчёта.</w:t>
      </w:r>
    </w:p>
    <w:p>
      <w:r>
        <w:t>3. Проверить применимость расчётной схемы к TOS/SOT и типу заворота. Блок SW DRAW на Start прямо помечен ONLY TOS SIZES!. Для SOT этот блок не считать подтверждённым расчётом боковины.</w:t>
      </w:r>
    </w:p>
    <w:p>
      <w:r>
        <w:t>4. Подготовить или подобрать контуры SW и TT в AICONTOUR по принятому процессу, как предусмотрено исходной инструкцией. Зафиксировать обозначение и ревизию контура, отличие от аналога и согласование DR.</w:t>
      </w:r>
    </w:p>
    <w:p>
      <w:pPr>
        <w:pStyle w:val="Heading2"/>
      </w:pPr>
      <w:r>
        <w:t>Границы применения числовых правил</w:t>
      </w:r>
    </w:p>
    <w:p>
      <w:r>
        <w:t>Коэффициенты усадки, припуски и расстояния из старого образца использовать только при наличии действующей методики для выбранной конструкции. В настоящем документе новые универсальные значения для расчёта профилей не назначаются.</w:t>
      </w:r>
    </w:p>
    <w:p>
      <w:pPr>
        <w:pStyle w:val="Heading2"/>
      </w:pPr>
      <w:r>
        <w:t>Выход этапа</w:t>
      </w:r>
    </w:p>
    <w:p>
      <w:r>
        <w:t>Проверенные геометрические данные и контуры, пригодные для ввода в Drawing и окончательного заполнения Plant spec. Условия применимости выбранного расчёта записаны в журнале проекта.</w:t>
      </w:r>
    </w:p>
    <w:p>
      <w:r>
        <w:br w:type="page"/>
      </w:r>
    </w:p>
    <w:p>
      <w:pPr>
        <w:pStyle w:val="Heading1"/>
      </w:pPr>
      <w:r>
        <w:t>09. Drawing: ввод размеров и построение схемы</w:t>
      </w:r>
    </w:p>
    <w:p>
      <w:pPr>
        <w:pStyle w:val="Heading2"/>
      </w:pPr>
      <w:r>
        <w:t>Порядок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Где вводить / проверять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Ширины IL и каркасов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C7/C8/C9 — переопределения; B7/B8/B9 — результат.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Ширина SW / AGS junction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C11/C13 — переопределения; B11/B13 — результат. Назначение junction не смешивать с шириной AGS в Plant spec.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Брекеры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C14/C15 — переопределения; B14/B15 — результат. Проверить порядок и единицы.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Протектор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B16 — ручное поле Top tread (1/2), то есть половина ширины.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Завороты и перекрытия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C18/C19/C20 и прочие предусмотренные поля — по применимости; контролировать результат в схеме.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Прослойки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B27:E29 — ширины и установки TSQ/BSQ; согласовать необходимое число позиций.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SW и TPI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B33 — установка SW; B34 — предусмотренная установка TPI; проверить контрольный блок и получателей.</w:t>
            </w:r>
          </w:p>
        </w:tc>
      </w:tr>
    </w:tbl>
    <w:p>
      <w:pPr>
        <w:spacing w:after="40"/>
      </w:pPr>
    </w:p>
    <w:p>
      <w:r>
        <w:t>1. Выбрать B5 из существующего списка: TURN UP, BELOW IL или BOTH. Убедиться, что нужные компоненты отображаются на схеме и отсутствующие слои не участвуют в выдаче.</w:t>
      </w:r>
    </w:p>
    <w:p>
      <w:r>
        <w:t>2. Проверить CCH, Flipper, TPI и второй BF по выбранной конструкции. Неприменимость компонента должна совпадать в Start, Drawing, Feasibility и Plant spec.</w:t>
      </w:r>
    </w:p>
    <w:p>
      <w:r>
        <w:t>3. Сопоставить числовую таблицу с рисунком: число слоёв, последовательность, ширины, положения концов и дублирования. Не оценивать схему только по её внешнему виду.</w:t>
      </w:r>
    </w:p>
    <w:p>
      <w:pPr>
        <w:shd w:val="clear" w:fill="E8EEF5"/>
      </w:pPr>
      <w:r>
        <w:rPr>
          <w:color w:val="17365D"/>
          <w:sz w:val="20"/>
        </w:rPr>
        <w:t>B16 = 100 в сохранённом примере означает половину ширины; Plant spec!I74 рассчитывает 2 × B16. Pre-TR!L24 и лист сравнения D11 получают B16 напрямую, хотя их подпись содержит просто «Ширина». Обязательно указывать смысл размера при передаче данных.</w:t>
      </w:r>
    </w:p>
    <w:p>
      <w:r>
        <w:br w:type="page"/>
      </w:r>
    </w:p>
    <w:p>
      <w:pPr>
        <w:pStyle w:val="Heading1"/>
      </w:pPr>
      <w:r>
        <w:t>10. Drawing: контроль зазоров и применимости</w:t>
      </w:r>
    </w:p>
    <w:p>
      <w:pPr>
        <w:pStyle w:val="Heading2"/>
      </w:pPr>
      <w:r>
        <w:t>Проверять требования и фактические значения совместно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2295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2694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Где смотреть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TT / SPL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I41 и L41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Сопоставить факт с требованием для SOT либо TOS.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SPL / TP1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I42 и L42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расстояние и расположение концов.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TP1 / TPI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I43 и L43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Оценивать при наличии TPI.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Ширина TPI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I44 и L44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применимость и ширину.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TT / TPI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I45 и L45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расстояние до конца TPI.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Установка SW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I46 и L46; Start!D15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Подтвердить правило для варианта с CCH / без CCH.</w:t>
            </w:r>
          </w:p>
        </w:tc>
      </w:tr>
      <w:tr>
        <w:trPr>
          <w:cantSplit/>
        </w:trPr>
        <w:tc>
          <w:tcPr>
            <w:tcW w:type="dxa" w:w="2295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CCH / IL</w:t>
            </w:r>
          </w:p>
        </w:tc>
        <w:tc>
          <w:tcPr>
            <w:tcW w:type="dxa" w:w="2694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I47 и L47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Для отсутствующего CCH оформить неприменимость.</w:t>
            </w:r>
          </w:p>
        </w:tc>
      </w:tr>
    </w:tbl>
    <w:p>
      <w:pPr>
        <w:spacing w:after="40"/>
      </w:pPr>
    </w:p>
    <w:p>
      <w:r>
        <w:t>Если требование не выполнено, записать параметр, норму, факт, источник нормы и предлагаемое решение. После изменения размеров повторить подбор TOOLS и проверку Feasibility.</w:t>
      </w:r>
    </w:p>
    <w:p>
      <w:pPr>
        <w:pStyle w:val="Heading2"/>
      </w:pPr>
      <w:r>
        <w:t>Пример чтения сохранённого состояния</w:t>
      </w:r>
    </w:p>
    <w:p>
      <w:r>
        <w:t>Для SOT в исходной копии L41 = 12,5 мм при подписи I41 «минимум 16 мм»; связанная оценка 'Feasibility Check Sheet'!H15 имеет NG. L45 = 7 мм при подписи I45 «минимум 11 мм». Такой проект нельзя считать проверенным по этим пунктам.</w:t>
      </w:r>
    </w:p>
    <w:p>
      <w:pPr>
        <w:shd w:val="clear" w:fill="E8EEF5"/>
      </w:pPr>
      <w:r>
        <w:rPr>
          <w:color w:val="17365D"/>
          <w:sz w:val="20"/>
        </w:rPr>
        <w:t>В разных блоках книги встречаются разные смещения SW: в SW DRAW для Without CCH применяется −22 мм, в Drawing!I46 указано −23 мм; сам SW DRAW ограничен TOS. Методика требует установить применимую норму и согласовать результат, а не автоматически уравнять эти значения.</w:t>
      </w:r>
    </w:p>
    <w:p>
      <w:r>
        <w:br w:type="page"/>
      </w:r>
    </w:p>
    <w:p>
      <w:pPr>
        <w:pStyle w:val="Heading1"/>
      </w:pPr>
      <w:r>
        <w:t>11. TOOLS: подбор оснастки и проверка ограничений</w:t>
      </w:r>
    </w:p>
    <w:p>
      <w:pPr>
        <w:pStyle w:val="Heading2"/>
      </w:pPr>
      <w:r>
        <w:t>Работать по актуальному Drawing</w:t>
      </w:r>
    </w:p>
    <w:p>
      <w:r>
        <w:t>1. Проверить G9 — код типа шины: 1 UHP, 2 RFT, 3 SUV. Затем сверить G10 — посадочный диаметр, G11 — BSW, G12 — Bead Lock Width и G14 — окружность BT.</w:t>
      </w:r>
    </w:p>
    <w:p>
      <w:r>
        <w:t>2. Проверить G21/G22 — ширины барабана и бандажа, полученные через скрытый лист «Бандаж». G20 рассчитывает ширину спейсера. После изменения SW/AGS junction проверить эти результаты повторно.</w:t>
      </w:r>
    </w:p>
    <w:p>
      <w:r>
        <w:t>3. Проверить выбор сегментов: I15 — результат, G15 — предусмотренный ручной выбор. Сверить рабочую окружность, ширину, допустимый диапазон и фактическое наличие оснастки.</w:t>
      </w:r>
    </w:p>
    <w:p>
      <w:r>
        <w:t>4. Проверить G26/G27/G28 — бандаж BT и его растяжения. Сравнить значения с применимыми ограничениями, не смешивая безразмерный коэффициент и проценты.</w:t>
      </w:r>
    </w:p>
    <w:p>
      <w:r>
        <w:t>5. В G32 выбрать ширину формующей диафрагмы. Проверить G33/G34 и обозначение O14, которое используется далее в Plant spec. Исключить позиции N/A и подтвердить совместимость с машиной.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Показатель сохранённого примера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Сегменты I15 / бандаж G26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78-02 / 470 мм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Рабочее растяжение G27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1,1689 — безразмерное отношение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Формующая диафрагма G32 / O14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340 мм / K15-340KF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Растяжения G33 / G34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113,914 % / 100 %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Барабан G21 / бандаж G22 / спейсер G20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500 / 386 / 100 мм</w:t>
            </w:r>
          </w:p>
        </w:tc>
      </w:tr>
    </w:tbl>
    <w:p>
      <w:pPr>
        <w:spacing w:after="40"/>
      </w:pPr>
    </w:p>
    <w:p>
      <w:pPr>
        <w:shd w:val="clear" w:fill="E8EEF5"/>
      </w:pPr>
      <w:r>
        <w:rPr>
          <w:color w:val="17365D"/>
          <w:sz w:val="20"/>
        </w:rPr>
        <w:t>В Plant spec предусмотрены собственные ручные значения, например AU81/AU82 для барабана и бандажа. Поэтому верный подбор TOOLS ещё не подтверждает совпадение итогового запроса: сравнить фактические получатели.</w:t>
      </w:r>
    </w:p>
    <w:p>
      <w:r>
        <w:br w:type="page"/>
      </w:r>
    </w:p>
    <w:p>
      <w:pPr>
        <w:pStyle w:val="Heading1"/>
      </w:pPr>
      <w:r>
        <w:t>12. Feasibility Check Sheet: оценка осуществимости</w:t>
      </w:r>
    </w:p>
    <w:p>
      <w:pPr>
        <w:pStyle w:val="Heading2"/>
      </w:pPr>
      <w:r>
        <w:t>Вход и порядок проверки</w:t>
      </w:r>
    </w:p>
    <w:p>
      <w:r>
        <w:t>1. Проверить типоразмер и этап C3. Различать проектное распределение материалов и результаты опытной партии: расчёт, измерение CTLO и фактический замер триала имеют разные основания.</w:t>
      </w:r>
    </w:p>
    <w:p>
      <w:r>
        <w:t>2. В блоке качества проверить расстояния и толщины под канавками. Для каждого применимого пункта подтвердить источник результата, единицу и актуальность допуска.</w:t>
      </w:r>
    </w:p>
    <w:p>
      <w:r>
        <w:t>3. В блоке производства проверить материалы, размеры, структуру стадий, GT/BSW/BT, оснастку, BER, стык и прикатку протектора. Затем проверить условия финальной инспекции, лаборатории, PCI и вулканизации.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Оценка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Правило применения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OK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Соответствие подтверждено результатом и применимой нормой.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NG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Установлено несоответствие. Требуется решение и повторная проверка.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N/A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Пункт не применяется; причина должна быть записана.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Caution / Внимание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Есть ограничение или вопрос, требующий технического решения.</w:t>
            </w:r>
          </w:p>
        </w:tc>
      </w:tr>
    </w:tbl>
    <w:p>
      <w:pPr>
        <w:spacing w:after="40"/>
      </w:pPr>
    </w:p>
    <w:p>
      <w:r>
        <w:t>4. Отличать расчётную оценку от ручной. Например, H15 вычисляется по результату Drawing, а H40 в предоставленной копии содержит постоянное OK. Ручная отметка не является доказательством выполненной проверки.</w:t>
      </w:r>
    </w:p>
    <w:p>
      <w:pPr>
        <w:pStyle w:val="Heading2"/>
      </w:pPr>
      <w:r>
        <w:t>Выход этапа</w:t>
      </w:r>
    </w:p>
    <w:p>
      <w:r>
        <w:t>Все применимые пункты оценены. Для отклонений заполнены контрмеры, ответственные, сроки и проверка результата. Разногласия между подписью, формулой и внешним стандартом переданы владельцу нормы до выдачи проекта.</w:t>
      </w:r>
    </w:p>
    <w:p>
      <w:r>
        <w:br w:type="page"/>
      </w:r>
    </w:p>
    <w:p>
      <w:pPr>
        <w:pStyle w:val="Heading1"/>
      </w:pPr>
      <w:r>
        <w:t>13. Pre-TR: подготовка решения по проекту</w:t>
      </w:r>
    </w:p>
    <w:p>
      <w:pPr>
        <w:pStyle w:val="Heading2"/>
      </w:pPr>
      <w:r>
        <w:t>Что подготовить к обсуждению</w:t>
      </w:r>
    </w:p>
    <w:p>
      <w:r>
        <w:t>1. Проверить идентификацию G4:G7, дату S4, участников и модульность. В rev.33 тип BLD в G4 определяется формулой по коду продукта; сверить его с фактической машиной.</w:t>
      </w:r>
    </w:p>
    <w:p>
      <w:r>
        <w:t>2. Сверить блок подбора материалов со Start и Drawing. Особое внимание: O12 — TTP, T12 — BSW; O13 — первый каркас; L14/Q14 — IL; L18/Q18 — брекеры; L19/Q19 — BT и BER.</w:t>
      </w:r>
    </w:p>
    <w:p>
      <w:r>
        <w:t>3. Проверить Copy/New для TT и SW. Коды New N23/N31 связаны с Plant spec, поэтому до совещания допускается предварительный запрос, но его статус должен быть явно обозначен как проектный.</w:t>
      </w:r>
    </w:p>
    <w:p>
      <w:r>
        <w:t>4. Внести комментарии, ручные данные профилей и применимые условия вулканизации. Проверить смысл ширины TT в L24: это прямая ссылка на половинную ширину Drawing!B16.</w:t>
      </w:r>
    </w:p>
    <w:p>
      <w:r>
        <w:t>5. Вставить актуальную схему Drawing в предусмотренную область формы. На Pre-TR имеется указание скопировать распределение материалов; наличие формул остальных полей не означает автоматического обновления этой иллюстрации.</w:t>
      </w:r>
    </w:p>
    <w:p>
      <w:pPr>
        <w:pStyle w:val="Heading2"/>
      </w:pPr>
      <w:r>
        <w:t>Решение и последующие действия</w:t>
      </w:r>
    </w:p>
    <w:p>
      <w:r>
        <w:t>На совещании для каждого замечания зафиксировать принятое решение, исполнителя и срок. После обсуждения обновить рабочую копию, выполнить пересчёт и повторить затронутые проверки. Только затем перевести Plant spec из проектного состояния в комплект на утверждение.</w:t>
      </w:r>
    </w:p>
    <w:p>
      <w:pPr>
        <w:shd w:val="clear" w:fill="E8EEF5"/>
      </w:pPr>
      <w:r>
        <w:rPr>
          <w:color w:val="17365D"/>
          <w:sz w:val="20"/>
        </w:rPr>
        <w:t>Даты S4 и Plant spec!AF2 используют TODAY(). Для архивного комплекта сохранять подписанную или иным способом зафиксированную редакцию, чтобы дата и решение не менялись вместе с рабочим файлом.</w:t>
      </w:r>
    </w:p>
    <w:p>
      <w:r>
        <w:br w:type="page"/>
      </w:r>
    </w:p>
    <w:p>
      <w:pPr>
        <w:pStyle w:val="Heading1"/>
      </w:pPr>
      <w:r>
        <w:t>14. Plant spec: материалы и контуры</w:t>
      </w:r>
    </w:p>
    <w:p>
      <w:pPr>
        <w:pStyle w:val="Heading2"/>
      </w:pPr>
      <w:r>
        <w:t>Проверять запрос по источникам, а не по наличию заполненных полей</w:t>
      </w:r>
    </w:p>
    <w:p>
      <w:r>
        <w:t>1. Сверить паспорт проекта, этап H17/M17, дату производства X17 и таблицу «Было / Стало / Причина». Проверить, что коды материалов относятся к согласованной ревизии.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Блок формы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Основной контроль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35–38: IL / CCH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Код, материал, толщина, ширина и дублирование; применимость CCH.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39–50: BP / TSQ / BSQ / TPI / FL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Число каркасов, состав прослоек, ширины, установки и применимость каждого компонента.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51–59: кольцо / BF / SW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Материал и структура кольца, WWD, BF, код контура SW, SW/AGS и ручные поля справа.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60–67: TP / EGS / SL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Материал, угол, направление, ширины, краевые ленты и схема спирального слоя.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68–79: TT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Код контура, CAP/BASE/UT/WT, антенна, толщины, ширины и маркировка.</w:t>
            </w:r>
          </w:p>
        </w:tc>
      </w:tr>
    </w:tbl>
    <w:p>
      <w:pPr>
        <w:spacing w:after="40"/>
      </w:pPr>
    </w:p>
    <w:p>
      <w:r>
        <w:t>2. Проверить правые ручные параметры: они могут иметь приоритет над данными ККТ и расчётов. В текущей копии, например, AQ57 = 45 задаёт ширину AGS, AR76 = Yes включает антенну, I62/I65 содержат G40.</w:t>
      </w:r>
    </w:p>
    <w:p>
      <w:r>
        <w:t>3. По антенне сопоставить исходную карту и согласованное решение: BETA CECT!K37 содержит «-», однако Plant spec!AR76 = Yes, а I73 выдаёт T004. Различие требует решения, а не автоматического переноса одного варианта.</w:t>
      </w:r>
    </w:p>
    <w:p>
      <w:r>
        <w:t>4. При одном каркасе проверить отсутствие лишних позиций BP2 и TPI второго каркаса в запросе. В сохранённом состоянии I43 и I48 обе содержат G11; подтвердить применимость каждой позиции после пересчёта.</w:t>
      </w:r>
    </w:p>
    <w:p>
      <w:pPr>
        <w:pStyle w:val="Heading2"/>
      </w:pPr>
      <w:r>
        <w:t>Выход этапа</w:t>
      </w:r>
    </w:p>
    <w:p>
      <w:r>
        <w:t>Материалы и контуры согласованы; позиции новых спецификаций отмечены в предусмотренном столбце AB; необходимые пояснения указаны в AC. Неприменимые компоненты не направлены на выпуск по ошибке.</w:t>
      </w:r>
    </w:p>
    <w:p>
      <w:r>
        <w:br w:type="page"/>
      </w:r>
    </w:p>
    <w:p>
      <w:pPr>
        <w:pStyle w:val="Heading1"/>
      </w:pPr>
      <w:r>
        <w:t>15. Plant spec: сборка, вулканизация и выдача</w:t>
      </w:r>
    </w:p>
    <w:p>
      <w:pPr>
        <w:pStyle w:val="Heading2"/>
      </w:pPr>
      <w:r>
        <w:t>Сборочные данные: строки 80–84</w:t>
      </w:r>
    </w:p>
    <w:p>
      <w:r>
        <w:t>Проверить конструкцию и стадии, BSW, окружности BT/GT, ширину GT, BER, установки SW/WT/BP, барабан, бандаж, CS1, диафрагму, заворот, подогрев, прокалывание и прикатку. Для фактических размеров триала указать источник и дату замера.</w:t>
      </w:r>
    </w:p>
    <w:p>
      <w:r>
        <w:t>Сравнить поля I83/O83 с TOOLS!G21/G22. В сохранённом примере Plant spec использует AU81 = 440 и AU82 = 392, тогда как TOOLS выдаёт 500 и 386 мм. Это самостоятельные источники; требуется подтвердить окончательный выбранный комплект.</w:t>
      </w:r>
    </w:p>
    <w:p>
      <w:pPr>
        <w:pStyle w:val="Heading2"/>
      </w:pPr>
      <w:r>
        <w:t>Вулканизация: строки 85–89</w:t>
      </w:r>
    </w:p>
    <w:p>
      <w:r>
        <w:t>Сверить режим, геометрию борта, толщины CT/ST/C/SW, тип и ширину кольца, PCI, диафрагму, Like size и время. Для каждого поля подтвердить единицу измерения.</w:t>
      </w:r>
    </w:p>
    <w:p>
      <w:r>
        <w:t>Не смешивать классификацию сезонности Q3 = PXR с обозначением режима вулканизации H85 = PSR-5: это разные поля. Применимость режима подтверждать по утверждённому процессу, а не по сходству буквенного кода.</w:t>
      </w:r>
    </w:p>
    <w:p>
      <w:r>
        <w:t>Проверить источник L: Plant spec!M85 использует Вычисления!K617 с переопределением Start!D75; резервная ветвь H87 также обращается к D75, хотя его подпись на Start — L. Смысл и допустимость переопределения должны быть подтверждены владельцем книги.</w:t>
      </w:r>
    </w:p>
    <w:p>
      <w:pPr>
        <w:pStyle w:val="Heading2"/>
      </w:pPr>
      <w:r>
        <w:t>Единицы и выпуск</w:t>
      </w:r>
    </w:p>
    <w:p>
      <w:r>
        <w:t>В ККТ PCI задан через AH24 — кПа и AH25 — мм; в Start имеется текстовый пример другого формата. До переноса подтвердить требуемые единицы формы, а не выполнять предполагаемое преобразование автоматически.</w:t>
      </w:r>
    </w:p>
    <w:p>
      <w:r>
        <w:t>Сверить разработчика, проверяющего, дату и ревизию. Передать только согласованный комплект, в котором рабочий XLSM и зафиксированные выдаваемые формы однозначно связаны между собой.</w:t>
      </w:r>
    </w:p>
    <w:p>
      <w:r>
        <w:br w:type="page"/>
      </w:r>
    </w:p>
    <w:p>
      <w:pPr>
        <w:pStyle w:val="Heading1"/>
      </w:pPr>
      <w:r>
        <w:t>16. База TR/DR: фактическая логика макроса</w:t>
      </w:r>
    </w:p>
    <w:p>
      <w:pPr>
        <w:pStyle w:val="Heading2"/>
      </w:pPr>
      <w:r>
        <w:t>Подтверждено статическим чтением Module1.bas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Фактическое действие UpdatePreDRDatabase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Источник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ActiveWorkbook; лист «Перенос данных», строка A3:BE3 — 57 значений.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Ключ поиска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Trim(A3) источника; поиск полного совпадения по значениям в столбце B получателя, без учёта регистра.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Получатель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Файл Y:\!НТЦ Интайр\Отдел индустриализации\TR, DR database.xlsx; второй лист книги.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Найденная запись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Запрашивается подтверждение перезаписи; значения вставляются в A:BE найденной строки.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Новая запись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Добавляется строка после последней заполненной ячейки столбца A.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Сохранение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Сначала сохраняется база; затем создаётся копия в C:\Temp. Имеющийся одноимённый локальный файл удаляется.</w:t>
            </w:r>
          </w:p>
        </w:tc>
      </w:tr>
    </w:tbl>
    <w:p>
      <w:pPr>
        <w:spacing w:after="40"/>
      </w:pPr>
    </w:p>
    <w:p>
      <w:pPr>
        <w:pStyle w:val="Heading2"/>
      </w:pPr>
      <w:r>
        <w:t>Несоответствие ключа в предоставленной rev.33</w:t>
      </w:r>
    </w:p>
    <w:p>
      <w:r>
        <w:t>Перенос данных!A3 содержит дату из Pre-TR!S4, а B3 — производственный код из Pre-TR!G5. Столбец B получателя ожидает код продукта, но макрос ищет в нём значение A3, то есть дату. Повторный запуск не следует считать надёжным обновлением существующей записи.</w:t>
      </w:r>
    </w:p>
    <w:p>
      <w:pPr>
        <w:shd w:val="clear" w:fill="E8EEF5"/>
      </w:pPr>
      <w:r>
        <w:rPr>
          <w:color w:val="17365D"/>
          <w:sz w:val="20"/>
        </w:rPr>
        <w:t>До подтверждённого устранения несоответствия владельцем книги выгрузка в рабочую базу исключается из обычного маршрута. Исправление VBA — отдельная задача сопровождения; исходная книга при подготовке этой методики не изменялась.</w:t>
      </w:r>
    </w:p>
    <w:p>
      <w:r>
        <w:t>Макрос не запускался. Его фактический доступ к базе, права записи и результат выполнения не проверялись. Наличие кнопки или файла «с БД» само по себе не подтверждает корректную регистрацию проекта.</w:t>
      </w:r>
    </w:p>
    <w:p>
      <w:r>
        <w:br w:type="page"/>
      </w:r>
    </w:p>
    <w:p>
      <w:pPr>
        <w:pStyle w:val="Heading1"/>
      </w:pPr>
      <w:r>
        <w:t>17. База TR/DR: порядок допуска и проверки записи</w:t>
      </w:r>
    </w:p>
    <w:p>
      <w:pPr>
        <w:pStyle w:val="Heading2"/>
      </w:pPr>
      <w:r>
        <w:t>Применять после решения владельца книги по разделу 16</w:t>
      </w:r>
    </w:p>
    <w:p>
      <w:r>
        <w:t>1. Подтвердить версию VBA, правило ключа и соответствие структуры второго листа базы диапазону A:BE. Проверку сначала выполнять на утверждённой тестовой копии базы по принятому порядку сопровождения.</w:t>
      </w:r>
    </w:p>
    <w:p>
      <w:r>
        <w:t>2. Проверить доступ к указанному пути Y:, права записи и наличие C:\Temp. Установить, какая книга активна: макрос использует ActiveWorkbook, а не ThisWorkbook.</w:t>
      </w:r>
    </w:p>
    <w:p>
      <w:r>
        <w:t>3. Пересчитать проект и проверить строку «Перенос данных»!A3:BE3: идентификацию, размеры, материалы, комментарии, половинную ширину TT, условия PCI и отсутствие ошибок формул.</w:t>
      </w:r>
    </w:p>
    <w:p>
      <w:r>
        <w:t>4. Проверить наличие записи с тем же согласованным ключом и ревизией. При запросе перезаписи сначала сопоставить найденную строку с текущим проектом; подтверждение перезаписи является решением пользователя макроса.</w:t>
      </w:r>
    </w:p>
    <w:p>
      <w:r>
        <w:t>5. После операции повторно открыть базу и проверить нужную строку: ключ, дату, код, размеры, материал и согласованную ревизию. Проверить также локальную копию, если она предусмотрена действующим сценарием.</w:t>
      </w:r>
    </w:p>
    <w:p>
      <w:pPr>
        <w:pStyle w:val="Heading2"/>
      </w:pPr>
      <w:r>
        <w:t>Особенность обработки ошибок</w:t>
      </w:r>
    </w:p>
    <w:p>
      <w:r>
        <w:t>В текущем коде база сохраняется до создания локальной копии. Поэтому ошибка на этапе C:\Temp не доказывает отсутствия записи в базе. Перед повторным запуском проверить фактическую строку; не создавать дубликат повторной попыткой без проверки.</w:t>
      </w:r>
    </w:p>
    <w:p>
      <w:pPr>
        <w:pStyle w:val="Heading2"/>
      </w:pPr>
      <w:r>
        <w:t>Результат</w:t>
      </w:r>
    </w:p>
    <w:p>
      <w:r>
        <w:t>Запись считается подтверждённой после проверки содержимого базы, а не только после сообщения VBA. В журнале указать ключ, ревизию, дату операции, исполнителя, строку/идентификатор записи и результат сверки.</w:t>
      </w:r>
    </w:p>
    <w:p>
      <w:r>
        <w:br w:type="page"/>
      </w:r>
    </w:p>
    <w:p>
      <w:pPr>
        <w:pStyle w:val="Heading1"/>
      </w:pPr>
      <w:r>
        <w:t>18. Контрольный разбор предоставленного примера</w:t>
      </w:r>
    </w:p>
    <w:p>
      <w:r>
        <w:t>Ниже приведено сохранённое состояние исходной копии 195/55R15 89T XL, E0199, IC55. Значения не являются результатом нового пересчёта Excel и не назначаются нормой для другого проекта.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696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4390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Что видно в исходной книге</w:t>
            </w:r>
          </w:p>
        </w:tc>
        <w:tc>
          <w:tcPr>
            <w:tcW w:type="dxa" w:w="3891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Решение по методике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BSW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ККТ 368; Start/Drawing 370 мм.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Установить основание рабочего BSW и зарегистрировать отличие.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Каркас BP1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ККТ 480; расчёт/схема 485 мм.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Подтвердить расчёт и выбранную ширину.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TT / SPL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Drawing!L41 = 12,5 мм; подпись требует 16 мм для SOT; H15 = NG.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Не считать проверку закрытой; согласовать изменение и повторить цепочку.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TT / TPI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Drawing!L45 = 7 мм; подпись требует 11 мм.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Разобрать несоответствие по применимой норме.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Ширина TT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ККТ G56 = 210 мм; B16 = 100, I74 = 200 мм.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полный размер и основание отличия.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Антенна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В ККТ «-»; Plant spec выдаёт T004.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Подтвердить наличие и источник решения.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Оснастка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TOOLS 500/386; Plant spec 440/392 мм.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Установить единый согласованный комплект.</w:t>
            </w:r>
          </w:p>
        </w:tc>
      </w:tr>
      <w:tr>
        <w:trPr>
          <w:cantSplit/>
        </w:trPr>
        <w:tc>
          <w:tcPr>
            <w:tcW w:type="dxa" w:w="169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Запись в базу</w:t>
            </w:r>
          </w:p>
        </w:tc>
        <w:tc>
          <w:tcPr>
            <w:tcW w:type="dxa" w:w="4390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Дата A3 используется для поиска по столбцу кода B.</w:t>
            </w:r>
          </w:p>
        </w:tc>
        <w:tc>
          <w:tcPr>
            <w:tcW w:type="dxa" w:w="3891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Передать владельцу книги; не допускать рабочую выгрузку до решения.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Вывод по примеру</w:t>
      </w:r>
    </w:p>
    <w:p>
      <w:r>
        <w:t>Файл пригоден как пример структуры и исходных данных для разработки методики. По указанным пунктам сохранённый проект не является доказанно готовым к производственной выдаче или надёжной записи в базу.</w:t>
      </w:r>
    </w:p>
    <w:p>
      <w:r>
        <w:br w:type="page"/>
      </w:r>
    </w:p>
    <w:p>
      <w:pPr>
        <w:pStyle w:val="Heading1"/>
      </w:pPr>
      <w:r>
        <w:t>19. Повторные проверки при изменении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Изменение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Что пересчитать и проверить повторно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Размер, нагрузка, рисунок, код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Start и внешние поиски → конструкция/ширины → все выдаваемые формы.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TOS/SOT, Tie-in, CCH, число каркасов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Start → Drawing, включая неприменимые слои → TOOLS → Feasibility → Pre-TR и Plant spec.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BSW, WWD, ширины, установки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 → барабан/бандаж/диафрагма → зазоры и осуществимость → итоговые сборочные данные.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Материал, угол, схема SL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Справочники и размеры → Drawing → BER и зазоры → коды и состав Plant spec.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Контуры SW/TT, половинная ширина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 и сопряжения → оснастка → Feasibility → Pre-TR → правые поля Plant spec.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Вулканизация, PCI, испытания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ККТ/решение → Plant spec → условия испытаний и выдаваемый комплект.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Формулы, справочник или VBA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Контрольный проект и затронутые сценарии по порядку сопровождения; обновление этой методики.</w:t>
            </w:r>
          </w:p>
        </w:tc>
      </w:tr>
    </w:tbl>
    <w:p>
      <w:pPr>
        <w:spacing w:after="40"/>
      </w:pPr>
    </w:p>
    <w:p>
      <w:pPr>
        <w:pStyle w:val="Heading2"/>
      </w:pPr>
      <w:r>
        <w:t>Порядок фиксации</w:t>
      </w:r>
    </w:p>
    <w:p>
      <w:r>
        <w:t>1. Зарегистрировать изменение и основание. 2. Внести его в правильный источник. 3. Выполнить полный пересчёт. 4. Сопоставить ожидаемые и фактические изменения. 5. Повторить применимые проверки. 6. Сохранить новую ревизию и решение.</w:t>
      </w:r>
    </w:p>
    <w:p>
      <w:pPr>
        <w:shd w:val="clear" w:fill="E8EEF5"/>
      </w:pPr>
      <w:r>
        <w:rPr>
          <w:color w:val="17365D"/>
          <w:sz w:val="20"/>
        </w:rPr>
        <w:t>После утверждения не заменять значения в ранее выданном комплекте без управления ревизиями. Для каждого получателя должна быть понятна действующая редакция проекта.</w:t>
      </w:r>
    </w:p>
    <w:p>
      <w:r>
        <w:br w:type="page"/>
      </w:r>
    </w:p>
    <w:p>
      <w:pPr>
        <w:pStyle w:val="Heading1"/>
      </w:pPr>
      <w:r>
        <w:t>20. Типовые ошибки и порядок диагностики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Признак</w:t>
            </w:r>
          </w:p>
        </w:tc>
        <w:tc>
          <w:tcPr>
            <w:tcW w:type="dxa" w:w="498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Последовательность проверки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#N/A / #Н/Д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точное обозначение, наличие ключа, актуальность внешнего prod.code/pattern и доступ к источнику.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#VALUE! / #ЗНАЧ!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тип данных, пустую строку, текст вместо числа, формат разделения и применимость ветви формулы.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#REF! / #ССЫЛКА!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Установить повреждённую ссылку и влияние на используемые формы; передать владельцу книги.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Старое значение после ввода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приоритет переопределений, ручные поля справа и режим вычислений; затем полный пересчёт.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OK без подтверждающего результата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Выяснить, рассчитана оценка или введена вручную; повторить проверку по источнику.</w:t>
            </w:r>
          </w:p>
        </w:tc>
      </w:tr>
      <w:tr>
        <w:trPr>
          <w:cantSplit/>
        </w:trPr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Не работает база</w:t>
            </w:r>
          </w:p>
        </w:tc>
        <w:tc>
          <w:tcPr>
            <w:tcW w:type="dxa" w:w="498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Проверить версию макроса, активную книгу, путь Y:, права, структуру получателя и фактическую запись до повтора.</w:t>
            </w:r>
          </w:p>
        </w:tc>
      </w:tr>
    </w:tbl>
    <w:p>
      <w:pPr>
        <w:spacing w:after="40"/>
      </w:pPr>
    </w:p>
    <w:p>
      <w:pPr>
        <w:pStyle w:val="Heading2"/>
      </w:pPr>
      <w:r>
        <w:t>Что уже обнаружено в сохранённых результатах</w:t>
      </w:r>
    </w:p>
    <w:p>
      <w:r>
        <w:t>Start: 2 ошибки; Drawing: 2; Feasibility Check Sheet: 1; FI: 2; Notification: 41; Вычисления: 12. Например, Start!L55/L57 и Drawing!X150/X155 содержат #VALUE!, Notification!B30 — #REF!.</w:t>
      </w:r>
    </w:p>
    <w:p>
      <w:r>
        <w:t>Ошибки неприменимого слоя не следует ни скрывать, ни автоматически считать препятствием для всех сценариев. Нужно подтвердить неприменимость и отсутствие влияния на текущую выдачу. Ошибка используемой зависимости должна быть устранена или разобрана до допуска.</w:t>
      </w:r>
    </w:p>
    <w:p>
      <w:r>
        <w:t>Оригиналы TR 6008-03, SP 019, SP 020 и SP 225 не предоставлены. Ссылки и допуски требуют проверки по действующим документам организации.</w:t>
      </w:r>
    </w:p>
    <w:p>
      <w:r>
        <w:br w:type="page"/>
      </w:r>
    </w:p>
    <w:p>
      <w:pPr>
        <w:pStyle w:val="Heading1"/>
      </w:pPr>
      <w:r>
        <w:t>21. Контроль выдачи и состав подтверждений</w:t>
      </w:r>
    </w:p>
    <w:p>
      <w:pPr>
        <w:pStyle w:val="Heading2"/>
      </w:pPr>
      <w:r>
        <w:t>Перед передачей комплекта подтвердить каждый пункт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599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№</w:t>
            </w:r>
          </w:p>
        </w:tc>
        <w:tc>
          <w:tcPr>
            <w:tcW w:type="dxa" w:w="6386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Контроль</w:t>
            </w:r>
          </w:p>
        </w:tc>
        <w:tc>
          <w:tcPr>
            <w:tcW w:type="dxa" w:w="2993"/>
            <w:shd w:val="clear" w:fill="17365D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Отметка / основание</w:t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Паспорт проекта, НКТД и CTLO относятся к одной ревизии.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Производственные коды и внешние данные проверены.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Конструкция и ручные переопределения согласованы.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BSW, ширины, установки и единицы подтверждены.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Drawing проверен; применимые зазоры и дублирования оценены.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Оснастка подходит и подтверждена производством.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Feasibility закрыт; решения по отклонениям документированы.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Решения Pre-TR/DR внесены; схема и контуры актуальны.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Plant spec сверен, новые позиции определены, лишние исключены.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Ошибки используемых зависимостей разобраны; полный пересчёт выполнен.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Дата, подписи, ревизия и печатный комплект проверены.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  <w:tr>
        <w:trPr>
          <w:cantSplit/>
        </w:trPr>
        <w:tc>
          <w:tcPr>
            <w:tcW w:type="dxa" w:w="599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6386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Если выполнялась выгрузка: строка базы проверена после записи.</w:t>
            </w:r>
          </w:p>
        </w:tc>
        <w:tc>
          <w:tcPr>
            <w:tcW w:type="dxa" w:w="2993"/>
            <w:shd w:val="clear" w:fill="FFFFFF"/>
          </w:tcPr>
          <w:p>
            <w:pPr>
              <w:spacing w:after="80" w:before="60" w:line="247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</w:r>
          </w:p>
        </w:tc>
      </w:tr>
    </w:tbl>
    <w:p>
      <w:pPr>
        <w:spacing w:after="40"/>
      </w:pPr>
    </w:p>
    <w:p>
      <w:r>
        <w:t>Отметка: Да / Нет / Н/П. Для Н/П указать причину. Для каждого незакрытого вопроса определить ответственное лицо, срок и условие допуска по принятому порядку.</w:t>
      </w:r>
    </w:p>
    <w:p>
      <w:r>
        <w:t>Хранить: исходный шаблон, рабочий XLSM, согласованные формы, решения по отклонениям, реквизиты контуров и подтверждение записи в базу при её выполнении.</w:t>
      </w:r>
    </w:p>
    <w:p>
      <w:r>
        <w:br w:type="page"/>
      </w:r>
    </w:p>
    <w:p>
      <w:pPr>
        <w:pStyle w:val="Heading1"/>
      </w:pPr>
      <w:r>
        <w:t>22. Формы записей и границы проверки методики</w:t>
      </w:r>
    </w:p>
    <w:p>
      <w:pPr>
        <w:pStyle w:val="Heading2"/>
      </w:pPr>
      <w:r>
        <w:t>Форма изменения</w:t>
      </w:r>
    </w:p>
    <w:p>
      <w:r>
        <w:t>Дата | код проекта | ревизия | лист и параметр | было → стало | единица | основание | исполнитель | согласование | выполненные повторные проверки.</w:t>
      </w:r>
    </w:p>
    <w:p>
      <w:pPr>
        <w:pStyle w:val="Heading2"/>
      </w:pPr>
      <w:r>
        <w:t>Форма отклонения</w:t>
      </w:r>
    </w:p>
    <w:p>
      <w:r>
        <w:t>Пункт проверки | требование и источник | фактическое значение | причина | решение/контрмера | ответственный | срок | повторный результат | допуск и утверждение.</w:t>
      </w:r>
    </w:p>
    <w:p>
      <w:pPr>
        <w:pStyle w:val="Heading2"/>
      </w:pPr>
      <w:r>
        <w:t>Форма подтверждения базы</w:t>
      </w:r>
    </w:p>
    <w:p>
      <w:r>
        <w:t>Ключ проекта | ревизия | версия макроса | путь и лист базы | строка/идентификатор | дата и исполнитель | создание/обновление | результат сверки | ссылка на комплект.</w:t>
      </w:r>
    </w:p>
    <w:p>
      <w:pPr>
        <w:pStyle w:val="Heading2"/>
      </w:pPr>
      <w:r>
        <w:t>Основание выводов</w:t>
      </w:r>
    </w:p>
    <w:p>
      <w:r>
        <w:t>Выполнено статическое чтение листов, формул, сохранённых значений, внешних связей, справочников и VBA исходной rev.33. Конкретные адреса и поведение выгрузки приведены по фактической структуре файла.</w:t>
      </w:r>
    </w:p>
    <w:p>
      <w:r>
        <w:t>Не выполнялись: запуск VBA, обращение к рабочей базе, пересчёт исходного XLSM в Microsoft Excel, проверка производственной оснастки и сверка с оригиналами внутренних нормативов. Сохранённые значения не выданы за результат нового испытания.</w:t>
      </w:r>
    </w:p>
    <w:p>
      <w:pPr>
        <w:pStyle w:val="Heading2"/>
      </w:pPr>
      <w:r>
        <w:t>Перед вводом стандарта в действие</w:t>
      </w:r>
    </w:p>
    <w:p>
      <w:r>
        <w:t>Владелец процесса подтверждает полномочия, источники норм, совместимость шаблона, работу внешних связей и допустимость выбранных расчётов. Владелец книги устраняет или квалифицирует отмеченные зависимости и VBA. Затем методику проверяют на контрольном проекте и утверждают в установленном порядке.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28" w:right="964" w:bottom="1020" w:left="964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Проект методики • AI CECT rev.33 • редакция 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 w:before="0"/>
    </w:pPr>
    <w:r>
      <w:rPr>
        <w:sz w:val="2"/>
      </w:rPr>
    </w:r>
  </w:p>
  <w:tbl>
    <w:tblPr>
      <w:tblW w:type="auto" w:w="0"/>
      <w:jc w:val="center"/>
      <w:tblBorders>
        <w:top w:val="single" w:sz="4" w:color="333333"/>
        <w:left w:val="single" w:sz="4" w:color="333333"/>
        <w:bottom w:val="single" w:sz="4" w:color="333333"/>
        <w:right w:val="single" w:sz="4" w:color="333333"/>
        <w:insideH w:val="single" w:sz="4" w:color="333333"/>
        <w:insideV w:val="single" w:sz="4" w:color="333333"/>
      </w:tblBorders>
      <w:tblLayout w:type="fixed"/>
      <w:tblLook w:firstColumn="1" w:firstRow="1" w:lastColumn="0" w:lastRow="0" w:noHBand="0" w:noVBand="1" w:val="04A0"/>
    </w:tblPr>
    <w:tblGrid>
      <w:gridCol w:w="1425"/>
      <w:gridCol w:w="1425"/>
      <w:gridCol w:w="1425"/>
      <w:gridCol w:w="1425"/>
      <w:gridCol w:w="1425"/>
      <w:gridCol w:w="1425"/>
      <w:gridCol w:w="1425"/>
    </w:tblGrid>
    <w:tr>
      <w:tc>
        <w:tcPr>
          <w:tcW w:type="dxa" w:w="1020"/>
          <w:vMerge w:val="restart"/>
          <w:vAlign w:val="center"/>
        </w:tcPr>
        <w:p>
          <w:pPr>
            <w:spacing w:after="0" w:before="0" w:line="240" w:lineRule="auto"/>
          </w:pPr>
        </w:p>
      </w:tc>
      <w:tc>
        <w:tcPr>
          <w:tcW w:type="dxa" w:w="5216"/>
          <w:gridSpan w:val="4"/>
          <w:vAlign w:val="center"/>
        </w:tcPr>
        <w:p>
          <w:pPr>
            <w:spacing w:after="0" w:before="0" w:line="240" w:lineRule="auto"/>
            <w:jc w:val="center"/>
          </w:pPr>
          <w:r>
            <w:rPr>
              <w:rFonts w:ascii="Times New Roman" w:hAnsi="Times New Roman"/>
              <w:sz w:val="16"/>
            </w:rPr>
            <w:t>«Инструкция по подготовке спецификации на участке сборки»</w:t>
          </w:r>
        </w:p>
      </w:tc>
      <w:tc>
        <w:tcPr>
          <w:tcW w:type="dxa" w:w="3742"/>
          <w:gridSpan w:val="2"/>
          <w:vAlign w:val="center"/>
        </w:tcPr>
        <w:p>
          <w:pPr>
            <w:spacing w:after="0" w:before="0" w:line="240" w:lineRule="auto"/>
            <w:jc w:val="center"/>
          </w:pPr>
          <w:r>
            <w:rPr>
              <w:rFonts w:ascii="Times New Roman" w:hAnsi="Times New Roman"/>
              <w:sz w:val="16"/>
            </w:rPr>
            <w:drawing>
              <wp:inline xmlns:a="http://schemas.openxmlformats.org/drawingml/2006/main" xmlns:pic="http://schemas.openxmlformats.org/drawingml/2006/picture">
                <wp:extent cx="1368000" cy="30323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ect_nativ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0323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020"/>
          <w:vMerge/>
          <w:vAlign w:val="center"/>
        </w:tcPr>
        <w:p/>
      </w:tc>
      <w:tc>
        <w:tcPr>
          <w:tcW w:type="dxa" w:w="1361"/>
          <w:vAlign w:val="center"/>
        </w:tcPr>
        <w:p>
          <w:pPr>
            <w:spacing w:after="0" w:before="0" w:line="240" w:lineRule="auto"/>
          </w:pPr>
          <w:r>
            <w:rPr>
              <w:rFonts w:ascii="Times New Roman" w:hAnsi="Times New Roman"/>
              <w:sz w:val="16"/>
            </w:rPr>
            <w:t>Дата выпуска</w:t>
          </w:r>
        </w:p>
      </w:tc>
      <w:tc>
        <w:tcPr>
          <w:tcW w:type="dxa" w:w="1247"/>
          <w:vAlign w:val="center"/>
        </w:tcPr>
        <w:p>
          <w:pPr>
            <w:spacing w:after="0" w:before="0" w:line="240" w:lineRule="auto"/>
          </w:pPr>
          <w:r>
            <w:rPr>
              <w:rFonts w:ascii="Times New Roman" w:hAnsi="Times New Roman"/>
              <w:sz w:val="16"/>
            </w:rPr>
            <w:t>29.10.2026</w:t>
          </w:r>
        </w:p>
      </w:tc>
      <w:tc>
        <w:tcPr>
          <w:tcW w:type="dxa" w:w="2041"/>
          <w:vAlign w:val="center"/>
        </w:tcPr>
        <w:p>
          <w:pPr>
            <w:spacing w:after="0" w:before="0" w:line="240" w:lineRule="auto"/>
          </w:pPr>
          <w:r>
            <w:rPr>
              <w:rFonts w:ascii="Times New Roman" w:hAnsi="Times New Roman"/>
              <w:sz w:val="16"/>
            </w:rPr>
            <w:t>Номер версии</w:t>
          </w:r>
        </w:p>
      </w:tc>
      <w:tc>
        <w:tcPr>
          <w:tcW w:type="dxa" w:w="567"/>
          <w:vAlign w:val="center"/>
        </w:tcPr>
        <w:p>
          <w:pPr>
            <w:spacing w:after="0" w:before="0" w:line="240" w:lineRule="auto"/>
          </w:pPr>
          <w:r>
            <w:rPr>
              <w:rFonts w:ascii="Times New Roman" w:hAnsi="Times New Roman"/>
              <w:sz w:val="16"/>
            </w:rPr>
            <w:t>3.0</w:t>
          </w:r>
        </w:p>
      </w:tc>
      <w:tc>
        <w:tcPr>
          <w:tcW w:type="dxa" w:w="1134"/>
          <w:vAlign w:val="center"/>
        </w:tcPr>
        <w:p>
          <w:pPr>
            <w:spacing w:after="0" w:before="0" w:line="240" w:lineRule="auto"/>
          </w:pPr>
          <w:r>
            <w:rPr>
              <w:rFonts w:ascii="Times New Roman" w:hAnsi="Times New Roman"/>
              <w:sz w:val="16"/>
            </w:rPr>
            <w:t>Страница</w:t>
          </w:r>
        </w:p>
      </w:tc>
      <w:tc>
        <w:tcPr>
          <w:tcW w:type="dxa" w:w="2608"/>
          <w:vAlign w:val="center"/>
        </w:tcPr>
        <w:p>
          <w:pPr>
            <w:spacing w:after="0" w:before="0" w:line="240" w:lineRule="auto"/>
          </w:pPr>
          <w:fldSimple w:instr="PAGE"/>
          <w:r>
            <w:rPr>
              <w:rFonts w:ascii="Times New Roman" w:hAnsi="Times New Roman"/>
              <w:sz w:val="16"/>
            </w:rPr>
            <w:t xml:space="preserve"> из </w:t>
          </w:r>
          <w:fldSimple w:instr="NUMPAGES"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подготовки спецификации в AI CECT rev.33</dc:title>
  <dc:subject>Самостоятельная методика по фактической структуре AI CECT rev.33</dc:subject>
  <dc:creator/>
  <cp:keywords/>
  <dc:description>Проект для согласования.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