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A3A5C"/>
          <w:sz w:val="36"/>
        </w:rPr>
        <w:t>Яндекс Директ: стратегии, аукцион и формирование цены клика</w:t>
      </w:r>
    </w:p>
    <w:p>
      <w:pPr>
        <w:jc w:val="center"/>
      </w:pPr>
      <w:r>
        <w:rPr>
          <w:rFonts w:ascii="Times New Roman" w:hAnsi="Times New Roman"/>
          <w:color w:val="555555"/>
          <w:sz w:val="22"/>
        </w:rPr>
        <w:t>Актуальный обзор на август 2026 года</w:t>
        <w:br/>
        <w:t>По материалам официальной справки Яндекс Директа и ЯРД</w:t>
      </w:r>
    </w:p>
    <w:p>
      <w:pPr>
        <w:jc w:val="center"/>
      </w:pPr>
      <w:r>
        <w:rPr>
          <w:rFonts w:ascii="Times New Roman" w:hAnsi="Times New Roman"/>
          <w:sz w:val="20"/>
        </w:rPr>
        <w:t>Дата подготовки: 01.08.2026</w:t>
      </w:r>
    </w:p>
    <w:p>
      <w:pPr>
        <w:pStyle w:val="Heading1"/>
      </w:pPr>
      <w:r>
        <w:rPr>
          <w:color w:val="1A3A5C"/>
        </w:rPr>
        <w:t>1. Введение</w:t>
      </w:r>
    </w:p>
    <w:p>
      <w:r>
        <w:rPr>
          <w:rFonts w:ascii="Times New Roman" w:hAnsi="Times New Roman"/>
          <w:b w:val="0"/>
          <w:sz w:val="24"/>
        </w:rPr>
        <w:t>Яндекс Директ — система размещения поисковой и тематической контекстной рекламы. Рекламодатель платит за клики (и при отдельных настройках — за конверсии) по объявлениям, которые показываются в блоках на поиске Яндекса и в сетях (РСЯ и внешние сети).</w:t>
      </w:r>
    </w:p>
    <w:p>
      <w:r>
        <w:rPr>
          <w:rFonts w:ascii="Times New Roman" w:hAnsi="Times New Roman"/>
          <w:b w:val="0"/>
          <w:sz w:val="24"/>
        </w:rPr>
        <w:t>Стоимость клика не фиксирована: она определяется в результате аукциона в режиме реального времени, пока пользователь загружает страницу с результатами поиска или страницу с рекламными блоками. Ставки задаются в валюте и конвертируются во внутренние единицы Директа по курсу ЦБ РФ на текущую дату.</w:t>
      </w:r>
    </w:p>
    <w:p>
      <w:pPr>
        <w:pStyle w:val="Heading1"/>
      </w:pPr>
      <w:r>
        <w:rPr>
          <w:color w:val="1A3A5C"/>
        </w:rPr>
        <w:t>2. Стратегии в Яндекс Директе сейчас</w:t>
      </w:r>
    </w:p>
    <w:p>
      <w:r>
        <w:rPr>
          <w:rFonts w:ascii="Times New Roman" w:hAnsi="Times New Roman"/>
          <w:b w:val="0"/>
          <w:sz w:val="24"/>
        </w:rPr>
        <w:t>Стратегия — это набор правил, по которым система (или рекламодатель совместно с алгоритмом) управляет ставками и показами. В актуальной модели Директа основной упор сделан на автоматические стратегии. Ручное управление ставками сохраняется как режим «Максимум кликов с ручными ставками».</w:t>
      </w:r>
    </w:p>
    <w:p>
      <w:pPr>
        <w:pStyle w:val="Heading2"/>
      </w:pPr>
      <w:r>
        <w:rPr>
          <w:color w:val="2A4A6C"/>
        </w:rPr>
        <w:t>2.1. Максимум конверсий</w:t>
      </w:r>
    </w:p>
    <w:p>
      <w:r>
        <w:rPr>
          <w:rFonts w:ascii="Times New Roman" w:hAnsi="Times New Roman"/>
          <w:b w:val="0"/>
          <w:sz w:val="24"/>
        </w:rPr>
        <w:t>Главная стратегия для бизнеса с измеримыми целями (заявка, звонок, покупка, оплата). Алгоритм стремится получить максимум целевых действий при заданных ограничениях.</w:t>
      </w:r>
    </w:p>
    <w:p>
      <w:r>
        <w:rPr>
          <w:rFonts w:ascii="Times New Roman" w:hAnsi="Times New Roman"/>
          <w:b/>
          <w:sz w:val="24"/>
        </w:rPr>
        <w:t>Ограничения (одно или комбинация):</w:t>
      </w:r>
    </w:p>
    <w:p>
      <w:pPr>
        <w:pStyle w:val="ListBullet"/>
      </w:pPr>
      <w:r>
        <w:rPr>
          <w:rFonts w:ascii="Times New Roman" w:hAnsi="Times New Roman"/>
          <w:sz w:val="24"/>
        </w:rPr>
        <w:t>Средняя цена конверсии (CPA) — ориентир средней стоимости целевого действия.</w:t>
      </w:r>
    </w:p>
    <w:p>
      <w:pPr>
        <w:pStyle w:val="ListBullet"/>
      </w:pPr>
      <w:r>
        <w:rPr>
          <w:rFonts w:ascii="Times New Roman" w:hAnsi="Times New Roman"/>
          <w:sz w:val="24"/>
        </w:rPr>
        <w:t>Недельный бюджет — максимум конверсий в рамках лимита расходов.</w:t>
      </w:r>
    </w:p>
    <w:p>
      <w:pPr>
        <w:pStyle w:val="ListBullet"/>
      </w:pPr>
      <w:r>
        <w:rPr>
          <w:rFonts w:ascii="Times New Roman" w:hAnsi="Times New Roman"/>
          <w:sz w:val="24"/>
        </w:rPr>
        <w:t>Целевая доля рекламных расходов (ДРР) — расходы как доля от ценности/дохода от конверсий.</w:t>
      </w:r>
    </w:p>
    <w:p>
      <w:r>
        <w:rPr>
          <w:rFonts w:ascii="Times New Roman" w:hAnsi="Times New Roman"/>
          <w:b/>
          <w:sz w:val="24"/>
        </w:rPr>
        <w:t>Модели оплаты:</w:t>
      </w:r>
    </w:p>
    <w:p>
      <w:pPr>
        <w:pStyle w:val="ListBullet"/>
      </w:pPr>
      <w:r>
        <w:rPr>
          <w:rFonts w:ascii="Times New Roman" w:hAnsi="Times New Roman"/>
          <w:sz w:val="24"/>
        </w:rPr>
        <w:t>Оплата за клики (CPC) — платите за переходы; алгоритм показывает объявления пользователям с более высокой вероятностью конверсии.</w:t>
      </w:r>
    </w:p>
    <w:p>
      <w:pPr>
        <w:pStyle w:val="ListBullet"/>
      </w:pPr>
      <w:r>
        <w:rPr>
          <w:rFonts w:ascii="Times New Roman" w:hAnsi="Times New Roman"/>
          <w:sz w:val="24"/>
        </w:rPr>
        <w:t>Оплата за конверсии — списание только за достижение выбранной цели (или по правилам ДРР). Показов и трафика может быть меньше, зато экономика ближе к целевой цене заявки/продажи.</w:t>
      </w:r>
    </w:p>
    <w:p>
      <w:r>
        <w:rPr>
          <w:rFonts w:ascii="Times New Roman" w:hAnsi="Times New Roman"/>
          <w:b w:val="0"/>
          <w:sz w:val="24"/>
        </w:rPr>
        <w:t>Для устойчивой работы стратегии нужны цели в Метрике и достаточный объём данных. Ориентир практики: от ~10 конверсий в неделю для старта обучения; стабильнее — от 30–50 в неделю. При нехватке данных обычно начинают с оплаты за клики, накапливают статистику, затем при необходимости переходят на оплату за конверсии.</w:t>
      </w:r>
    </w:p>
    <w:p>
      <w:pPr>
        <w:pStyle w:val="Heading2"/>
      </w:pPr>
      <w:r>
        <w:rPr>
          <w:color w:val="2A4A6C"/>
        </w:rPr>
        <w:t>2.2. Максимум кликов</w:t>
      </w:r>
    </w:p>
    <w:p>
      <w:r>
        <w:rPr>
          <w:rFonts w:ascii="Times New Roman" w:hAnsi="Times New Roman"/>
          <w:b w:val="0"/>
          <w:sz w:val="24"/>
        </w:rPr>
        <w:t>Стратегия для набора трафика: максимум переходов при ограничениях по недельному бюджету, средней цене клика и/или нужному числу кликов за неделю. Подходит, когда цель — посещаемость, а воронка конверсий ещё не настроена или конверсий мало для обучения.</w:t>
      </w:r>
    </w:p>
    <w:p>
      <w:pPr>
        <w:pStyle w:val="Heading2"/>
      </w:pPr>
      <w:r>
        <w:rPr>
          <w:color w:val="2A4A6C"/>
        </w:rPr>
        <w:t>2.3. Максимум кликов с ручными ставками</w:t>
      </w:r>
    </w:p>
    <w:p>
      <w:r>
        <w:rPr>
          <w:rFonts w:ascii="Times New Roman" w:hAnsi="Times New Roman"/>
          <w:b w:val="0"/>
          <w:sz w:val="24"/>
        </w:rPr>
        <w:t>Полуавтоматический режим: рекламодатель задаёт ставки на уровне условий показа (фразы, аудитории и т.п.), при необходимости ограничивает средний дневной бюджет. Алгоритм всё равно участвует в оптимизации показов, но верхняя граница ставки контролируется вручную. Удобен для тестов, узких запросов и ситуаций, когда нужно жёстко управлять CPC.</w:t>
      </w:r>
    </w:p>
    <w:p>
      <w:pPr>
        <w:pStyle w:val="Heading2"/>
      </w:pPr>
      <w:r>
        <w:rPr>
          <w:color w:val="2A4A6C"/>
        </w:rPr>
        <w:t>2.4. Мастер кампаний и ЕПК</w:t>
      </w:r>
    </w:p>
    <w:p>
      <w:r>
        <w:rPr>
          <w:rFonts w:ascii="Times New Roman" w:hAnsi="Times New Roman"/>
          <w:b w:val="0"/>
          <w:sz w:val="24"/>
        </w:rPr>
        <w:t>В Мастере кампаний и единых перфоманс-кампаниях (ЕПК) доступны те же логики оптимизации: максимум целевых действий или максимум переходов — с бюджетом, средней ценой и/или ДРР. Система сама подбирает сочетания аудиторий, запросов и площадок в рамках выбранной цели. Для локального бизнеса (аренда, услуги) чаще выбирают «Максимум конверсий» с оплатой за клики и ограничением по CPA или недельному бюджету.</w:t>
      </w:r>
    </w:p>
    <w:p>
      <w:pPr>
        <w:pStyle w:val="Heading2"/>
      </w:pPr>
      <w:r>
        <w:rPr>
          <w:color w:val="2A4A6C"/>
        </w:rPr>
        <w:t>2.5. Практические рекомендации по выбору стратегии</w:t>
      </w:r>
    </w:p>
    <w:p>
      <w:pPr>
        <w:pStyle w:val="ListBullet"/>
      </w:pPr>
      <w:r>
        <w:rPr>
          <w:rFonts w:ascii="Times New Roman" w:hAnsi="Times New Roman"/>
          <w:sz w:val="24"/>
        </w:rPr>
        <w:t>Есть цели Метрики и 30+ конверсий/неделю → «Максимум конверсий» (CPC или оплата за конверсии).</w:t>
      </w:r>
    </w:p>
    <w:p>
      <w:pPr>
        <w:pStyle w:val="ListBullet"/>
      </w:pPr>
      <w:r>
        <w:rPr>
          <w:rFonts w:ascii="Times New Roman" w:hAnsi="Times New Roman"/>
          <w:sz w:val="24"/>
        </w:rPr>
        <w:t>Мало конверсий / нужна посещаемость → «Максимум кликов» с лимитом средней цены клика.</w:t>
      </w:r>
    </w:p>
    <w:p>
      <w:pPr>
        <w:pStyle w:val="ListBullet"/>
      </w:pPr>
      <w:r>
        <w:rPr>
          <w:rFonts w:ascii="Times New Roman" w:hAnsi="Times New Roman"/>
          <w:sz w:val="24"/>
        </w:rPr>
        <w:t>Нужен жёсткий контроль ставок по фразам → ручные ставки + дневной бюджет.</w:t>
      </w:r>
    </w:p>
    <w:p>
      <w:pPr>
        <w:pStyle w:val="ListBullet"/>
      </w:pPr>
      <w:r>
        <w:rPr>
          <w:rFonts w:ascii="Times New Roman" w:hAnsi="Times New Roman"/>
          <w:sz w:val="24"/>
        </w:rPr>
        <w:t>Важно соотношение рекламы и выручки → ДРР (особенно при e-commerce и передаче ценности конверсии).</w:t>
      </w:r>
    </w:p>
    <w:p>
      <w:pPr>
        <w:pStyle w:val="ListBullet"/>
      </w:pPr>
      <w:r>
        <w:rPr>
          <w:rFonts w:ascii="Times New Roman" w:hAnsi="Times New Roman"/>
          <w:sz w:val="24"/>
        </w:rPr>
        <w:t>Не меняйте стратегию и ключевые ограничения слишком часто: алгоритму нужно время на обучение (часто ориентир — 1–2 недели при достаточном трафике).</w:t>
      </w:r>
    </w:p>
    <w:p>
      <w:pPr>
        <w:pStyle w:val="Heading1"/>
      </w:pPr>
      <w:r>
        <w:rPr>
          <w:color w:val="1A3A5C"/>
        </w:rPr>
        <w:t>3. Как работает аукцион</w:t>
      </w:r>
    </w:p>
    <w:p>
      <w:r>
        <w:rPr>
          <w:rFonts w:ascii="Times New Roman" w:hAnsi="Times New Roman"/>
          <w:b w:val="0"/>
          <w:sz w:val="24"/>
        </w:rPr>
        <w:t>Аукцион проходит отдельно для каждого рекламного блока на странице пользователя и состоит из двух ключевых этапов: отбор/ранжирование и расчёт списываемой цены.</w:t>
      </w:r>
    </w:p>
    <w:p>
      <w:pPr>
        <w:pStyle w:val="Heading2"/>
      </w:pPr>
      <w:r>
        <w:rPr>
          <w:color w:val="2A4A6C"/>
        </w:rPr>
        <w:t>3.1. Отбор и ранжирование</w:t>
      </w:r>
    </w:p>
    <w:p>
      <w:r>
        <w:rPr>
          <w:rFonts w:ascii="Times New Roman" w:hAnsi="Times New Roman"/>
          <w:b w:val="0"/>
          <w:sz w:val="24"/>
        </w:rPr>
        <w:t>Объявления ранжируются по комбинации:</w:t>
      </w:r>
    </w:p>
    <w:p>
      <w:pPr>
        <w:pStyle w:val="ListBullet"/>
      </w:pPr>
      <w:r>
        <w:rPr>
          <w:rFonts w:ascii="Times New Roman" w:hAnsi="Times New Roman"/>
          <w:sz w:val="24"/>
        </w:rPr>
        <w:t>ставки;</w:t>
      </w:r>
    </w:p>
    <w:p>
      <w:pPr>
        <w:pStyle w:val="ListBullet"/>
      </w:pPr>
      <w:r>
        <w:rPr>
          <w:rFonts w:ascii="Times New Roman" w:hAnsi="Times New Roman"/>
          <w:sz w:val="24"/>
        </w:rPr>
        <w:t>коэффициента качества;</w:t>
      </w:r>
    </w:p>
    <w:p>
      <w:pPr>
        <w:pStyle w:val="ListBullet"/>
      </w:pPr>
      <w:r>
        <w:rPr>
          <w:rFonts w:ascii="Times New Roman" w:hAnsi="Times New Roman"/>
          <w:sz w:val="24"/>
        </w:rPr>
        <w:t>прогноза CTR (кликабельности) для конкретного показа.</w:t>
      </w:r>
    </w:p>
    <w:p>
      <w:r>
        <w:rPr>
          <w:rFonts w:ascii="Times New Roman" w:hAnsi="Times New Roman"/>
          <w:b w:val="0"/>
          <w:sz w:val="24"/>
        </w:rPr>
        <w:t>В блок попадает объявление с лучшим сочетанием этих показателей. Поэтому повысить позицию можно не только увеличением ставки, но и улучшением объявления, релевантности и посадочной страницы.</w:t>
      </w:r>
    </w:p>
    <w:p>
      <w:pPr>
        <w:pStyle w:val="Heading2"/>
      </w:pPr>
      <w:r>
        <w:rPr>
          <w:color w:val="2A4A6C"/>
        </w:rPr>
        <w:t>3.2. Два типа аукциона</w:t>
      </w:r>
    </w:p>
    <w:p>
      <w:r>
        <w:rPr>
          <w:rFonts w:ascii="Times New Roman" w:hAnsi="Times New Roman"/>
          <w:b/>
          <w:sz w:val="24"/>
        </w:rPr>
        <w:t>В зависимости от площадки применяются разные правила расчёта цены:</w:t>
      </w:r>
    </w:p>
    <w:p>
      <w:pPr>
        <w:pStyle w:val="ListBullet"/>
      </w:pPr>
      <w:r>
        <w:rPr>
          <w:rFonts w:ascii="Times New Roman" w:hAnsi="Times New Roman"/>
          <w:sz w:val="24"/>
        </w:rPr>
        <w:t>VCG-аукцион (Викри–Кларка–Гровса) — поиск Яндекса и поисковые площадки РСЯ. Платите за «ценность» дополнительного трафика относительно конкурентов, а не ровно свою максимальную ставку.</w:t>
      </w:r>
    </w:p>
    <w:p>
      <w:pPr>
        <w:pStyle w:val="ListBullet"/>
      </w:pPr>
      <w:r>
        <w:rPr>
          <w:rFonts w:ascii="Times New Roman" w:hAnsi="Times New Roman"/>
          <w:sz w:val="24"/>
        </w:rPr>
        <w:t>GSP-аукцион (Generalized Second Price) — тематические площадки РСЯ и внешние сети. Списываемая цена ориентируется на ставку ближайшего конкурента снизу.</w:t>
      </w:r>
    </w:p>
    <w:p>
      <w:pPr>
        <w:pStyle w:val="Heading2"/>
      </w:pPr>
      <w:r>
        <w:rPr>
          <w:color w:val="2A4A6C"/>
        </w:rPr>
        <w:t>3.3. VCG на поиске: логика объёма трафика</w:t>
      </w:r>
    </w:p>
    <w:p>
      <w:r>
        <w:rPr>
          <w:rFonts w:ascii="Times New Roman" w:hAnsi="Times New Roman"/>
          <w:b w:val="0"/>
          <w:sz w:val="24"/>
        </w:rPr>
        <w:t>В блоке премиум-показов (спецразмещение) может быть от 0 до 4 объявлений. Каждое место даёт свой «объём трафика» — величину, пропорциональную кликабельности позиции. Пример условных объёмов (значения не постоянны и считаются под конкретный запрос):</w:t>
      </w:r>
    </w:p>
    <w:p>
      <w:pPr>
        <w:pStyle w:val="ListBullet"/>
      </w:pPr>
      <w:r>
        <w:rPr>
          <w:rFonts w:ascii="Times New Roman" w:hAnsi="Times New Roman"/>
          <w:sz w:val="24"/>
        </w:rPr>
        <w:t>1-е место — 100 ед. трафика;</w:t>
      </w:r>
    </w:p>
    <w:p>
      <w:pPr>
        <w:pStyle w:val="ListBullet"/>
      </w:pPr>
      <w:r>
        <w:rPr>
          <w:rFonts w:ascii="Times New Roman" w:hAnsi="Times New Roman"/>
          <w:sz w:val="24"/>
        </w:rPr>
        <w:t>2-е — 85;</w:t>
      </w:r>
    </w:p>
    <w:p>
      <w:pPr>
        <w:pStyle w:val="ListBullet"/>
      </w:pPr>
      <w:r>
        <w:rPr>
          <w:rFonts w:ascii="Times New Roman" w:hAnsi="Times New Roman"/>
          <w:sz w:val="24"/>
        </w:rPr>
        <w:t>3-е — 75;</w:t>
      </w:r>
    </w:p>
    <w:p>
      <w:pPr>
        <w:pStyle w:val="ListBullet"/>
      </w:pPr>
      <w:r>
        <w:rPr>
          <w:rFonts w:ascii="Times New Roman" w:hAnsi="Times New Roman"/>
          <w:sz w:val="24"/>
        </w:rPr>
        <w:t>4-е — 65.</w:t>
      </w:r>
    </w:p>
    <w:p>
      <w:r>
        <w:rPr>
          <w:rFonts w:ascii="Times New Roman" w:hAnsi="Times New Roman"/>
          <w:b w:val="0"/>
          <w:sz w:val="24"/>
        </w:rPr>
        <w:t>Идея VCG: базовый (минимальный) трафик места в блоке оплачивается по цене конкурента, который не вошёл в блок. Дополнительный трафик более высоких позиций оплачивается по ставкам тех, кого вы «обошли» на этих ступенях. В расчётах клики не делят вручную на «базовые» и «дополнительные» — Директ выводит среднюю списываемую цену с учётом коэффициентов кликабельности мест.</w:t>
      </w:r>
    </w:p>
    <w:p>
      <w:pPr>
        <w:pStyle w:val="Heading3"/>
      </w:pPr>
      <w:r>
        <w:t>Упрощённый пример (ставки 10 / 7 / 5 / 3 / 2 ₽, качество и CTR одинаковые)</w:t>
      </w:r>
    </w:p>
    <w:p>
      <w:r>
        <w:rPr>
          <w:rFonts w:ascii="Times New Roman" w:hAnsi="Times New Roman"/>
          <w:b w:val="0"/>
          <w:sz w:val="24"/>
        </w:rPr>
        <w:t>В блок входят четверо с наибольшими ставками. Все четверо получают минимум 65 ед. трафика по цене ставки пятого (2 ₽). Надбавка за подъём на 3-ю позицию оплачивается с опорой на ставку 4-го (3 ₽), за подъём на 2-ю — с опорой на ставку 3-го (5 ₽), за 1-ю — с опорой на ставку 2-го (7 ₽). В итоге средняя цена клика у лидера обычно ниже его максимальной ставки 10 ₽, но выше, чем у участника на нижней позиции блока.</w:t>
      </w:r>
    </w:p>
    <w:p>
      <w:r>
        <w:rPr>
          <w:rFonts w:ascii="Times New Roman" w:hAnsi="Times New Roman"/>
          <w:b w:val="0"/>
          <w:sz w:val="24"/>
        </w:rPr>
        <w:t>Если прогнозы CTR различаются, ранжирование и цена пересчитываются с учётом CTR: при равных ставках выше встанет объявление с большим прогнозом кликабельности.</w:t>
      </w:r>
    </w:p>
    <w:p>
      <w:pPr>
        <w:pStyle w:val="Heading2"/>
      </w:pPr>
      <w:r>
        <w:rPr>
          <w:color w:val="2A4A6C"/>
        </w:rPr>
        <w:t>3.4. Расширенный формат на поиске</w:t>
      </w:r>
    </w:p>
    <w:p>
      <w:r>
        <w:rPr>
          <w:rFonts w:ascii="Times New Roman" w:hAnsi="Times New Roman"/>
          <w:b w:val="0"/>
          <w:sz w:val="24"/>
        </w:rPr>
        <w:t>Первое место может показаться в расширенном формате (больше трафика лидеру, меньше — соседям; четвёртый участник может выбыть). Выбор формата зависит от ставок и рассчитанных коэффициентов выгоды для системы. Цена клика при этом считается по тем же принципам VCG: конкуренция за каждый дополнительный слой трафика формирует его стоимость.</w:t>
      </w:r>
    </w:p>
    <w:p>
      <w:pPr>
        <w:pStyle w:val="Heading2"/>
      </w:pPr>
      <w:r>
        <w:rPr>
          <w:color w:val="2A4A6C"/>
        </w:rPr>
        <w:t>3.5. GSP в РСЯ и внешних сетях</w:t>
      </w:r>
    </w:p>
    <w:p>
      <w:r>
        <w:rPr>
          <w:rFonts w:ascii="Times New Roman" w:hAnsi="Times New Roman"/>
          <w:b w:val="0"/>
          <w:sz w:val="24"/>
        </w:rPr>
        <w:t>На тематических площадках РСЯ и во внешних сетях действует GSP: списываемая цена определяется ставкой ближайшего конкурента. Если в блоке одно место — победитель платит на уровне ставки второго участника. При нескольких позициях верхние места получают больше трафика и платят ближе к ставке соседа снизу, нижние — дешевле, но с меньшим объёмом трафика.</w:t>
      </w:r>
    </w:p>
    <w:p>
      <w:pPr>
        <w:pStyle w:val="Heading1"/>
      </w:pPr>
      <w:r>
        <w:rPr>
          <w:color w:val="1A3A5C"/>
        </w:rPr>
        <w:t>4. Как формируется цена клика (CPC)</w:t>
      </w:r>
    </w:p>
    <w:p>
      <w:r>
        <w:rPr>
          <w:rFonts w:ascii="Times New Roman" w:hAnsi="Times New Roman"/>
          <w:b/>
          <w:sz w:val="24"/>
        </w:rPr>
        <w:t>Кратко цепочка выглядит так:</w:t>
      </w:r>
    </w:p>
    <w:p>
      <w:pPr>
        <w:pStyle w:val="ListBullet"/>
      </w:pPr>
      <w:r>
        <w:rPr>
          <w:rFonts w:ascii="Times New Roman" w:hAnsi="Times New Roman"/>
          <w:sz w:val="24"/>
        </w:rPr>
        <w:t>1) Система отбирает конкурентов за показ в конкретном блоке.</w:t>
      </w:r>
    </w:p>
    <w:p>
      <w:pPr>
        <w:pStyle w:val="ListBullet"/>
      </w:pPr>
      <w:r>
        <w:rPr>
          <w:rFonts w:ascii="Times New Roman" w:hAnsi="Times New Roman"/>
          <w:sz w:val="24"/>
        </w:rPr>
        <w:t>2) Ранжирует их по ставке × качество × прогноз CTR.</w:t>
      </w:r>
    </w:p>
    <w:p>
      <w:pPr>
        <w:pStyle w:val="ListBullet"/>
      </w:pPr>
      <w:r>
        <w:rPr>
          <w:rFonts w:ascii="Times New Roman" w:hAnsi="Times New Roman"/>
          <w:sz w:val="24"/>
        </w:rPr>
        <w:t>3) По правилам VCG или GSP считает минимальную списываемую цену, достаточную для удержания позиции.</w:t>
      </w:r>
    </w:p>
    <w:p>
      <w:pPr>
        <w:pStyle w:val="ListBullet"/>
      </w:pPr>
      <w:r>
        <w:rPr>
          <w:rFonts w:ascii="Times New Roman" w:hAnsi="Times New Roman"/>
          <w:sz w:val="24"/>
        </w:rPr>
        <w:t>4) Фактический CPC часто ниже вашей максимальной ставки, но зависит от конкуренции в момент показа.</w:t>
      </w:r>
    </w:p>
    <w:p>
      <w:pPr>
        <w:pStyle w:val="Heading2"/>
      </w:pPr>
      <w:r>
        <w:rPr>
          <w:color w:val="2A4A6C"/>
        </w:rPr>
        <w:t>4.1. Что влияет на цену клика</w:t>
      </w:r>
    </w:p>
    <w:p>
      <w:pPr>
        <w:pStyle w:val="ListBullet"/>
      </w:pPr>
      <w:r>
        <w:rPr>
          <w:rFonts w:ascii="Times New Roman" w:hAnsi="Times New Roman"/>
          <w:sz w:val="24"/>
        </w:rPr>
        <w:t>Конкуренция по запросу/аудитории и время показа.</w:t>
      </w:r>
    </w:p>
    <w:p>
      <w:pPr>
        <w:pStyle w:val="ListBullet"/>
      </w:pPr>
      <w:r>
        <w:rPr>
          <w:rFonts w:ascii="Times New Roman" w:hAnsi="Times New Roman"/>
          <w:sz w:val="24"/>
        </w:rPr>
        <w:t>Ваша ставка (верхний предел готовности платить).</w:t>
      </w:r>
    </w:p>
    <w:p>
      <w:pPr>
        <w:pStyle w:val="ListBullet"/>
      </w:pPr>
      <w:r>
        <w:rPr>
          <w:rFonts w:ascii="Times New Roman" w:hAnsi="Times New Roman"/>
          <w:sz w:val="24"/>
        </w:rPr>
        <w:t>Качество объявления и релевантность посадочной.</w:t>
      </w:r>
    </w:p>
    <w:p>
      <w:pPr>
        <w:pStyle w:val="ListBullet"/>
      </w:pPr>
      <w:r>
        <w:rPr>
          <w:rFonts w:ascii="Times New Roman" w:hAnsi="Times New Roman"/>
          <w:sz w:val="24"/>
        </w:rPr>
        <w:t>Прогноз CTR для этого показа.</w:t>
      </w:r>
    </w:p>
    <w:p>
      <w:pPr>
        <w:pStyle w:val="ListBullet"/>
      </w:pPr>
      <w:r>
        <w:rPr>
          <w:rFonts w:ascii="Times New Roman" w:hAnsi="Times New Roman"/>
          <w:sz w:val="24"/>
        </w:rPr>
        <w:t>Позиция и формат (обычный / расширенный).</w:t>
      </w:r>
    </w:p>
    <w:p>
      <w:pPr>
        <w:pStyle w:val="ListBullet"/>
      </w:pPr>
      <w:r>
        <w:rPr>
          <w:rFonts w:ascii="Times New Roman" w:hAnsi="Times New Roman"/>
          <w:sz w:val="24"/>
        </w:rPr>
        <w:t>Тип площадки: поиск (VCG) или тематическая сеть (GSP).</w:t>
      </w:r>
    </w:p>
    <w:p>
      <w:pPr>
        <w:pStyle w:val="ListBullet"/>
      </w:pPr>
      <w:r>
        <w:rPr>
          <w:rFonts w:ascii="Times New Roman" w:hAnsi="Times New Roman"/>
          <w:sz w:val="24"/>
        </w:rPr>
        <w:t>Корректировки ставок (устройства, пол, возраст, регион, аудитории).</w:t>
      </w:r>
    </w:p>
    <w:p>
      <w:pPr>
        <w:pStyle w:val="ListBullet"/>
      </w:pPr>
      <w:r>
        <w:rPr>
          <w:rFonts w:ascii="Times New Roman" w:hAnsi="Times New Roman"/>
          <w:sz w:val="24"/>
        </w:rPr>
        <w:t>Стратегия: автостратегия может поднимать/опускать ставку в аукционе в рамках ваших лимитов.</w:t>
      </w:r>
    </w:p>
    <w:p>
      <w:pPr>
        <w:pStyle w:val="Heading2"/>
      </w:pPr>
      <w:r>
        <w:rPr>
          <w:color w:val="2A4A6C"/>
        </w:rPr>
        <w:t>4.2. Связь стратегии и аукциона</w:t>
      </w:r>
    </w:p>
    <w:p>
      <w:r>
        <w:rPr>
          <w:rFonts w:ascii="Times New Roman" w:hAnsi="Times New Roman"/>
          <w:b w:val="0"/>
          <w:sz w:val="24"/>
        </w:rPr>
        <w:t>Стратегия не отменяет аукцион. Она определяет, какую ставку система готова выставить в каждом аукционе. Например, при «Максимум конверсий» алгоритм чаще поднимает ставку там, где выше вероятность цели, и снижает — на «пустых» сегментах. Итоговая списываемая цена всё равно считается по VCG/GSP относительно конкурентов в этом показе.</w:t>
      </w:r>
    </w:p>
    <w:p>
      <w:pPr>
        <w:pStyle w:val="Heading2"/>
      </w:pPr>
      <w:r>
        <w:rPr>
          <w:color w:val="2A4A6C"/>
        </w:rPr>
        <w:t>4.3. Практический вывод для управления CPC</w:t>
      </w:r>
    </w:p>
    <w:p>
      <w:pPr>
        <w:pStyle w:val="ListBullet"/>
      </w:pPr>
      <w:r>
        <w:rPr>
          <w:rFonts w:ascii="Times New Roman" w:hAnsi="Times New Roman"/>
          <w:sz w:val="24"/>
        </w:rPr>
        <w:t>Улучшение CTR и качества часто снижает реальную цену клика без роста ставки.</w:t>
      </w:r>
    </w:p>
    <w:p>
      <w:pPr>
        <w:pStyle w:val="ListBullet"/>
      </w:pPr>
      <w:r>
        <w:rPr>
          <w:rFonts w:ascii="Times New Roman" w:hAnsi="Times New Roman"/>
          <w:sz w:val="24"/>
        </w:rPr>
        <w:t>Слепая гонка ставок на поиске в VCG менее выгодна, чем работа над релевантностью.</w:t>
      </w:r>
    </w:p>
    <w:p>
      <w:pPr>
        <w:pStyle w:val="ListBullet"/>
      </w:pPr>
      <w:r>
        <w:rPr>
          <w:rFonts w:ascii="Times New Roman" w:hAnsi="Times New Roman"/>
          <w:sz w:val="24"/>
        </w:rPr>
        <w:t>В РСЯ (GSP) особенно важны креатив и точность таргетинга — от них зависят и CTR, и стоимость.</w:t>
      </w:r>
    </w:p>
    <w:p>
      <w:pPr>
        <w:pStyle w:val="ListBullet"/>
      </w:pPr>
      <w:r>
        <w:rPr>
          <w:rFonts w:ascii="Times New Roman" w:hAnsi="Times New Roman"/>
          <w:sz w:val="24"/>
        </w:rPr>
        <w:t>Задавайте экономику заранее: предельный CPA/CPO и допустимый CPC = CPA × конверсия в заявку.</w:t>
      </w:r>
    </w:p>
    <w:p>
      <w:pPr>
        <w:pStyle w:val="ListBullet"/>
      </w:pPr>
      <w:r>
        <w:rPr>
          <w:rFonts w:ascii="Times New Roman" w:hAnsi="Times New Roman"/>
          <w:sz w:val="24"/>
        </w:rPr>
        <w:t>Смотрите не только CPC, но и цену целевого действия и долю рекламных расходов.</w:t>
      </w:r>
    </w:p>
    <w:p>
      <w:pPr>
        <w:pStyle w:val="Heading1"/>
      </w:pPr>
      <w:r>
        <w:rPr>
          <w:color w:val="1A3A5C"/>
        </w:rPr>
        <w:t>5. Краткая шпаргалка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r>
              <w:rPr>
                <w:rFonts w:ascii="Times New Roman" w:hAnsi="Times New Roman"/>
                <w:b/>
                <w:sz w:val="22"/>
              </w:rPr>
              <w:t>Вопрос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/>
                <w:b/>
                <w:sz w:val="22"/>
              </w:rPr>
              <w:t>Поиск / поисковые площадки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/>
                <w:b/>
                <w:sz w:val="22"/>
              </w:rPr>
              <w:t>РСЯ / внешние сети</w:t>
            </w:r>
          </w:p>
        </w:tc>
      </w:tr>
      <w:tr>
        <w:tc>
          <w:tcPr>
            <w:tcW w:type="dxa" w:w="3286"/>
          </w:tcPr>
          <w:p>
            <w:r>
              <w:rPr>
                <w:rFonts w:ascii="Times New Roman" w:hAnsi="Times New Roman"/>
                <w:sz w:val="20"/>
              </w:rPr>
              <w:t>Тип аукциона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/>
                <w:sz w:val="20"/>
              </w:rPr>
              <w:t>VCG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/>
                <w:sz w:val="20"/>
              </w:rPr>
              <w:t>GSP</w:t>
            </w:r>
          </w:p>
        </w:tc>
      </w:tr>
      <w:tr>
        <w:tc>
          <w:tcPr>
            <w:tcW w:type="dxa" w:w="3286"/>
          </w:tcPr>
          <w:p>
            <w:r>
              <w:rPr>
                <w:rFonts w:ascii="Times New Roman" w:hAnsi="Times New Roman"/>
                <w:sz w:val="20"/>
              </w:rPr>
              <w:t>Что платите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/>
                <w:sz w:val="20"/>
              </w:rPr>
              <w:t>За объём трафика с учётом влияния на конкурентов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/>
                <w:sz w:val="20"/>
              </w:rPr>
              <w:t>Ориентир — ставка ближайшего конкурента</w:t>
            </w:r>
          </w:p>
        </w:tc>
      </w:tr>
      <w:tr>
        <w:tc>
          <w:tcPr>
            <w:tcW w:type="dxa" w:w="3286"/>
          </w:tcPr>
          <w:p>
            <w:r>
              <w:rPr>
                <w:rFonts w:ascii="Times New Roman" w:hAnsi="Times New Roman"/>
                <w:sz w:val="20"/>
              </w:rPr>
              <w:t>Главные рычаги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/>
                <w:sz w:val="20"/>
              </w:rPr>
              <w:t>Ставка + качество + CTR + релевантность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/>
                <w:sz w:val="20"/>
              </w:rPr>
              <w:t>Креатив, таргетинг, CTR, ставка</w:t>
            </w:r>
          </w:p>
        </w:tc>
      </w:tr>
      <w:tr>
        <w:tc>
          <w:tcPr>
            <w:tcW w:type="dxa" w:w="3286"/>
          </w:tcPr>
          <w:p>
            <w:r>
              <w:rPr>
                <w:rFonts w:ascii="Times New Roman" w:hAnsi="Times New Roman"/>
                <w:sz w:val="20"/>
              </w:rPr>
              <w:t>Типичные стратегии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/>
                <w:sz w:val="20"/>
              </w:rPr>
              <w:t>Максимум конверсий / кликов (+ ручные ставки)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/>
                <w:sz w:val="20"/>
              </w:rPr>
              <w:t>Максимум конверсий / кликов</w:t>
            </w:r>
          </w:p>
        </w:tc>
      </w:tr>
    </w:tbl>
    <w:p/>
    <w:p>
      <w:pPr>
        <w:pStyle w:val="Heading1"/>
      </w:pPr>
      <w:r>
        <w:rPr>
          <w:color w:val="1A3A5C"/>
        </w:rPr>
        <w:t>6. Источники</w:t>
      </w:r>
    </w:p>
    <w:p>
      <w:pPr>
        <w:pStyle w:val="ListBullet"/>
      </w:pPr>
      <w:r>
        <w:rPr>
          <w:rFonts w:ascii="Times New Roman" w:hAnsi="Times New Roman"/>
          <w:sz w:val="24"/>
        </w:rPr>
        <w:t>Справка Директа: «Как работает аукцион в Директе» (VCG / GSP) — https://yandex.ru/support/direct/ru/technologies-and-services/vcg-auction</w:t>
      </w:r>
    </w:p>
    <w:p>
      <w:pPr>
        <w:pStyle w:val="ListBullet"/>
      </w:pPr>
      <w:r>
        <w:rPr>
          <w:rFonts w:ascii="Times New Roman" w:hAnsi="Times New Roman"/>
          <w:sz w:val="24"/>
        </w:rPr>
        <w:t>Справка Директа: стратегия «Максимум конверсий» — https://yandex.ru/support/direct/ru/strategies/average-cpa</w:t>
      </w:r>
    </w:p>
    <w:p>
      <w:pPr>
        <w:pStyle w:val="ListBullet"/>
      </w:pPr>
      <w:r>
        <w:rPr>
          <w:rFonts w:ascii="Times New Roman" w:hAnsi="Times New Roman"/>
          <w:sz w:val="24"/>
        </w:rPr>
        <w:t>Яндекс ЯРД: виды аукционов и работа со ставками</w:t>
      </w:r>
    </w:p>
    <w:p>
      <w:pPr>
        <w:pStyle w:val="ListBullet"/>
      </w:pPr>
      <w:r>
        <w:rPr>
          <w:rFonts w:ascii="Times New Roman" w:hAnsi="Times New Roman"/>
          <w:sz w:val="24"/>
        </w:rPr>
        <w:t>Материалы Яндекс Рекламы по автостратегиям и ДРР</w:t>
      </w:r>
    </w:p>
    <w:p>
      <w:r>
        <w:rPr>
          <w:rFonts w:ascii="Times New Roman" w:hAnsi="Times New Roman"/>
          <w:i/>
          <w:color w:val="666666"/>
          <w:sz w:val="20"/>
        </w:rPr>
        <w:t>Примечание: интерфейс и названия настроек Директа периодически обновляются. Перед запуском кампании сверяйте актуальные пункты в интерфейсе и официальной справке.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