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B3D5C"/>
          <w:sz w:val="36"/>
        </w:rPr>
        <w:t>Пакетная стратегия · RB + групповые прогулки</w:t>
      </w:r>
    </w:p>
    <w:p>
      <w:pPr>
        <w:spacing w:after="120"/>
      </w:pPr>
      <w:r>
        <w:rPr>
          <w:rFonts w:ascii="Arial" w:hAnsi="Arial"/>
          <w:b w:val="0"/>
          <w:color w:val="333333"/>
          <w:sz w:val="20"/>
        </w:rPr>
        <w:t>План пользователя 30.08.2026 · vitaminki21 · boat-sochi.ru</w:t>
      </w:r>
    </w:p>
    <w:p>
      <w:pPr>
        <w:spacing w:before="240"/>
      </w:pPr>
      <w:r>
        <w:rPr>
          <w:rFonts w:ascii="Arial" w:hAnsi="Arial"/>
          <w:b/>
          <w:color w:val="0B3D5C"/>
          <w:sz w:val="32"/>
        </w:rPr>
        <w:t>1. Зачем</w:t>
      </w:r>
    </w:p>
    <w:p>
      <w:pPr>
        <w:spacing w:after="120"/>
      </w:pPr>
      <w:r>
        <w:rPr>
          <w:rFonts w:ascii="Arial" w:hAnsi="Arial"/>
          <w:b/>
          <w:color w:val="333333"/>
          <w:sz w:val="22"/>
        </w:rPr>
        <w:t>RB застряла на обучении (0/10 конверсий). Пакетная стратегия объединяет несколько ЕПК в один «пакет» — алгоритм учится на конверсиях **всех** кампаний пакета, быстрее набирает порог 10 конв./нед.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RB — билет 2 800 ₽, рыбалка, /gruppovaja_ribbalka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GP (групповые прогулки) — билет 1 800 / закат 2 500 ₽, /progulki_na_yacht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Общее: один телефон +7 918 304-40-00, один счётчик 94713538, билетный формат, Сириус линия 2</w:t>
      </w:r>
    </w:p>
    <w:p>
      <w:pPr>
        <w:spacing w:before="240"/>
      </w:pPr>
      <w:r>
        <w:rPr>
          <w:rFonts w:ascii="Arial" w:hAnsi="Arial"/>
          <w:b/>
          <w:color w:val="0B3D5C"/>
          <w:sz w:val="32"/>
        </w:rPr>
        <w:t>2. Условия — когда имеет смысл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GP **уже запущена** и даёт конверсии (хотя бы 2–3 в неделю) — иначе пакет не ускорит RB.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Обе РК — **максимум конверсий**, оплата **за конверсии**, схожие цели (телефон / MAX / форма).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После перевода в пакет обе РК **снова идут в обучение** — это нормально, закладывать 1–2 недели.</w:t>
      </w:r>
    </w:p>
    <w:p>
      <w:pPr>
        <w:spacing w:before="240"/>
      </w:pPr>
      <w:r>
        <w:rPr>
          <w:rFonts w:ascii="Arial" w:hAnsi="Arial"/>
          <w:b/>
          <w:color w:val="0B3D5C"/>
          <w:sz w:val="32"/>
        </w:rPr>
        <w:t>3. Почему в RB «не даёт переключить»</w:t>
      </w:r>
    </w:p>
    <w:p>
      <w:pPr>
        <w:spacing w:after="120"/>
      </w:pPr>
      <w:r>
        <w:rPr>
          <w:rFonts w:ascii="Arial" w:hAnsi="Arial"/>
          <w:b/>
          <w:color w:val="8B1A1A"/>
          <w:sz w:val="22"/>
        </w:rPr>
        <w:t>В блоке стратегии RB стоит «Обычная» + «Максимум конверсий». Это не переключатель «сделать пакетную». Пакет сначала создают в библиотеке или на вкладке «Пакетные», потом в него добавляют кампании.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Пока идёт обучение («Не меняйте настройки») Директ часто **блокирует** смену стратегии — это ожидаемо, не баг.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Пакет удобнее собирать **с GP** (если обучение GP уже прошло) или из **Библиотеки**.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В пакет входят только кампании **одного типа**: обе должны быть **ЕПК**. Мастер кампаний / приложения / мессенджеры — нельзя.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RB и GP — один логин (vitaminki21).</w:t>
      </w:r>
    </w:p>
    <w:p>
      <w:pPr>
        <w:spacing w:before="240"/>
      </w:pPr>
      <w:r>
        <w:rPr>
          <w:rFonts w:ascii="Arial" w:hAnsi="Arial"/>
          <w:b/>
          <w:color w:val="0B3D5C"/>
          <w:sz w:val="32"/>
        </w:rPr>
        <w:t>4. Как включить — правильный путь</w:t>
      </w:r>
    </w:p>
    <w:p>
      <w:pPr>
        <w:spacing w:after="120"/>
      </w:pPr>
      <w:r>
        <w:rPr>
          <w:rFonts w:ascii="Arial" w:hAnsi="Arial"/>
          <w:b/>
          <w:color w:val="333333"/>
          <w:sz w:val="22"/>
        </w:rPr>
        <w:t>Вариант А (если GP уже работает и не в обучении):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Открыть **GP**, не RB.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Стратегия → вкладка **«Пакетные»** (рядом с «Обычная»). Не менять выпадашку «Максимум конверсий».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Стратегия: **«Из другой кампании»** — указать GP как источник.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В блоке кампаний пакета **Добавить** → отметить **713632237 (RB)**.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Недельный бюджет пакета = на **обе** РК (ориентир 18–20 тыс ₽).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Сохранить. В RB появится тот же пакет на вкладке «Пакетные».</w:t>
      </w:r>
    </w:p>
    <w:p>
      <w:pPr>
        <w:spacing w:after="120"/>
      </w:pPr>
      <w:r>
        <w:rPr>
          <w:rFonts w:ascii="Arial" w:hAnsi="Arial"/>
          <w:b/>
          <w:color w:val="333333"/>
          <w:sz w:val="22"/>
        </w:rPr>
        <w:t>Вариант Б — из библиотеки (если вкладка в RB серая):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Левое меню: **Библиотека → Пакетные стратегии** (или сверху «Добавить» → «Пакетную стратегию»).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Название: «Билеты Сириус · GP+RB».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Тип: **Максимум конверсий**, оплата **за конверсии**, ограничение **цена конверсии**.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Счётчик 94713538, те же цели (телефон / MAX / автоцель / профиль).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Цены целей — как в RB (110 / 130 / 140 / 100).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Блок «Кампании…» → Добавить → **GP + RB 713632237**.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Сохранить. Затем в каждой РК: Стратегия → **Пакетные** → выбрать этот пакет.</w:t>
      </w:r>
    </w:p>
    <w:p>
      <w:pPr>
        <w:spacing w:after="120"/>
      </w:pPr>
      <w:r>
        <w:rPr>
          <w:rFonts w:ascii="Arial" w:hAnsi="Arial"/>
          <w:b w:val="0"/>
          <w:color w:val="8B1A1A"/>
          <w:sz w:val="20"/>
        </w:rPr>
        <w:t>Если вкладки «Пакетные» нет: кампания не ЕПК или это Мастер. Проверить тип GP — должна быть ЕПК, как RB.</w:t>
      </w:r>
    </w:p>
    <w:p>
      <w:pPr>
        <w:spacing w:before="240"/>
      </w:pPr>
      <w:r>
        <w:rPr>
          <w:rFonts w:ascii="Arial" w:hAnsi="Arial"/>
          <w:b/>
          <w:color w:val="0B3D5C"/>
          <w:sz w:val="32"/>
        </w:rPr>
        <w:t>5. Бюджет пакета (ориентир)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RB: **8 000 ₽ / нед** (как сейчас)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GP: **10 000–12 000 ₽ / нед** (из handoff групповых прогулок)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Пакет суммарно: **18 000–20 000 ₽ / нед** — алгоритм сам распределит между RB и GP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Не резать GP до нуля — иначе пакет «ослепнет» для RB</w:t>
      </w:r>
    </w:p>
    <w:p>
      <w:pPr>
        <w:spacing w:before="240"/>
      </w:pPr>
      <w:r>
        <w:rPr>
          <w:rFonts w:ascii="Arial" w:hAnsi="Arial"/>
          <w:b/>
          <w:color w:val="0B3D5C"/>
          <w:sz w:val="32"/>
        </w:rPr>
        <w:t>6. Антиканнибализация (обязательно)</w:t>
      </w:r>
    </w:p>
    <w:p>
      <w:pPr>
        <w:spacing w:after="120"/>
      </w:pPr>
      <w:r>
        <w:rPr>
          <w:rFonts w:ascii="Arial" w:hAnsi="Arial"/>
          <w:b/>
          <w:color w:val="333333"/>
          <w:sz w:val="22"/>
        </w:rPr>
        <w:t>Пакет ≠ разрешение смешивать ключи. Минусы оставить:</w:t>
      </w:r>
    </w:p>
    <w:p>
      <w:pPr>
        <w:pStyle w:val="ListBullet"/>
      </w:pPr>
      <w:r>
        <w:rPr>
          <w:rFonts w:ascii="Arial" w:hAnsi="Arial"/>
          <w:b w:val="0"/>
          <w:color w:val="8B1A1A"/>
          <w:sz w:val="22"/>
        </w:rPr>
        <w:t>В GP: −рыбалка −улов −барабулька −попай −морская рыбалка</w:t>
      </w:r>
    </w:p>
    <w:p>
      <w:pPr>
        <w:pStyle w:val="ListBullet"/>
      </w:pPr>
      <w:r>
        <w:rPr>
          <w:rFonts w:ascii="Arial" w:hAnsi="Arial"/>
          <w:b w:val="0"/>
          <w:color w:val="8B1A1A"/>
          <w:sz w:val="22"/>
        </w:rPr>
        <w:t>В RB: −групповая прогулка −парусная −1800 −2500 −дельфинарий −прогулка на яхте (билет)</w:t>
      </w:r>
    </w:p>
    <w:p>
      <w:pPr>
        <w:pStyle w:val="ListBullet"/>
      </w:pPr>
      <w:r>
        <w:rPr>
          <w:rFonts w:ascii="Arial" w:hAnsi="Arial"/>
          <w:b w:val="0"/>
          <w:color w:val="8B1A1A"/>
          <w:sz w:val="22"/>
        </w:rPr>
        <w:t>Посадки разные: RB → /gruppovaja_ribbalka · GP → /progulki_na_yacht</w:t>
      </w:r>
    </w:p>
    <w:p>
      <w:pPr>
        <w:spacing w:before="240"/>
      </w:pPr>
      <w:r>
        <w:rPr>
          <w:rFonts w:ascii="Arial" w:hAnsi="Arial"/>
          <w:b/>
          <w:color w:val="0B3D5C"/>
          <w:sz w:val="32"/>
        </w:rPr>
        <w:t>7. Что сделать ДО переключения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☐ Записать номер кампании GP в Директе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☐ GP — проверить, что идут конверсии за последнюю неделю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☐ RB — закрыть архивное G1 (новое активное объявление)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☐ RB — G10 без текстов «барабулька/пеламида» (качество сигналов)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☐ G12 **не заводить** — пеламида в G5; минусы −луфарь на G5 **сделано 30.08**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☐ Скрин стратегии RB и GP **до** и **после** — для памяти агента</w:t>
      </w:r>
    </w:p>
    <w:p>
      <w:pPr>
        <w:spacing w:before="240"/>
      </w:pPr>
      <w:r>
        <w:rPr>
          <w:rFonts w:ascii="Arial" w:hAnsi="Arial"/>
          <w:b/>
          <w:color w:val="0B3D5C"/>
          <w:sz w:val="32"/>
        </w:rPr>
        <w:t>8. Что НЕ делать</w:t>
      </w:r>
    </w:p>
    <w:p>
      <w:pPr>
        <w:pStyle w:val="ListBullet"/>
      </w:pPr>
      <w:r>
        <w:rPr>
          <w:rFonts w:ascii="Arial" w:hAnsi="Arial"/>
          <w:b w:val="0"/>
          <w:color w:val="8B1A1A"/>
          <w:sz w:val="22"/>
        </w:rPr>
        <w:t>Не добавлять в пакет VIP/Tigger/аренду целиком — другой продукт и CPA</w:t>
      </w:r>
    </w:p>
    <w:p>
      <w:pPr>
        <w:pStyle w:val="ListBullet"/>
      </w:pPr>
      <w:r>
        <w:rPr>
          <w:rFonts w:ascii="Arial" w:hAnsi="Arial"/>
          <w:b w:val="0"/>
          <w:color w:val="8B1A1A"/>
          <w:sz w:val="22"/>
        </w:rPr>
        <w:t>Не менять в один день: пакет + бюджет + цены целей + тексты всех групп</w:t>
      </w:r>
    </w:p>
    <w:p>
      <w:pPr>
        <w:pStyle w:val="ListBullet"/>
      </w:pPr>
      <w:r>
        <w:rPr>
          <w:rFonts w:ascii="Arial" w:hAnsi="Arial"/>
          <w:b w:val="0"/>
          <w:color w:val="8B1A1A"/>
          <w:sz w:val="22"/>
        </w:rPr>
        <w:t>Не ждать, что RB сразу получит конверсии — нужен объём GP в пакете</w:t>
      </w:r>
    </w:p>
    <w:p>
      <w:pPr>
        <w:spacing w:before="240"/>
      </w:pPr>
      <w:r>
        <w:rPr>
          <w:rFonts w:ascii="Arial" w:hAnsi="Arial"/>
          <w:b/>
          <w:color w:val="0B3D5C"/>
          <w:sz w:val="32"/>
        </w:rPr>
        <w:t>9. После переключения — мониторинг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7–10 дней: смотреть конверсии **пакета** и **отдельно RB / GP**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Если GP забирает весь бюджет без RB — поднять минимальный недельный бюджет RB или CPA RB чуть ниже GP (осторожно)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Если RB пошли конверсии — не трогать 2 недели</w:t>
      </w:r>
    </w:p>
    <w:p>
      <w:pPr>
        <w:pStyle w:val="ListBullet"/>
      </w:pPr>
      <w:r>
        <w:rPr>
          <w:rFonts w:ascii="Arial" w:hAnsi="Arial"/>
          <w:b w:val="0"/>
          <w:color w:val="333333"/>
          <w:sz w:val="22"/>
        </w:rPr>
        <w:t>Выгрузка запросов RB отдельно — как обычно</w:t>
      </w:r>
    </w:p>
    <w:p>
      <w:pPr>
        <w:spacing w:before="240"/>
      </w:pPr>
      <w:r>
        <w:rPr>
          <w:rFonts w:ascii="Arial" w:hAnsi="Arial"/>
          <w:b/>
          <w:color w:val="0B3D5C"/>
          <w:sz w:val="32"/>
        </w:rPr>
        <w:t>10. Альтернатива</w:t>
      </w:r>
    </w:p>
    <w:p>
      <w:pPr>
        <w:spacing w:after="120"/>
      </w:pPr>
      <w:r>
        <w:rPr>
          <w:rFonts w:ascii="Arial" w:hAnsi="Arial"/>
          <w:b/>
          <w:color w:val="333333"/>
          <w:sz w:val="22"/>
        </w:rPr>
        <w:t>Если GP ещё не даёт конверсий — **не** переводить в пакет. Сначала вывести GP на 5+ конв./нед, потом подключать RB.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