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19" w:rsidRPr="00D61F9C" w:rsidRDefault="00AE2192" w:rsidP="00AE21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Експерементальні</w:t>
      </w:r>
      <w:proofErr w:type="spellEnd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дослідження вмісту важких металів в охоронних зонах автомагістралей</w:t>
      </w:r>
    </w:p>
    <w:p w:rsidR="00AD417F" w:rsidRPr="00D61F9C" w:rsidRDefault="00D72D52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D3377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417F" w:rsidRPr="00D61F9C">
        <w:rPr>
          <w:rFonts w:ascii="Times New Roman" w:hAnsi="Times New Roman" w:cs="Times New Roman"/>
          <w:b/>
          <w:sz w:val="28"/>
          <w:szCs w:val="28"/>
          <w:lang w:val="uk-UA"/>
        </w:rPr>
        <w:t>Ключові слова</w:t>
      </w:r>
      <w:r w:rsidR="00AD417F" w:rsidRPr="00D61F9C">
        <w:rPr>
          <w:rFonts w:ascii="Times New Roman" w:hAnsi="Times New Roman" w:cs="Times New Roman"/>
          <w:b/>
          <w:sz w:val="28"/>
          <w:szCs w:val="28"/>
        </w:rPr>
        <w:t>:</w:t>
      </w:r>
      <w:r w:rsidR="00AD417F"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417F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охоронна зона, важкі метали, </w:t>
      </w:r>
      <w:proofErr w:type="spellStart"/>
      <w:r w:rsidR="00AD417F" w:rsidRPr="00D61F9C">
        <w:rPr>
          <w:rFonts w:ascii="Times New Roman" w:hAnsi="Times New Roman" w:cs="Times New Roman"/>
          <w:sz w:val="28"/>
          <w:szCs w:val="28"/>
          <w:lang w:val="uk-UA"/>
        </w:rPr>
        <w:t>авромобільні</w:t>
      </w:r>
      <w:proofErr w:type="spellEnd"/>
      <w:r w:rsidR="00AD417F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дороги, забруднення території</w:t>
      </w:r>
    </w:p>
    <w:p w:rsidR="00AD417F" w:rsidRPr="00D61F9C" w:rsidRDefault="008D3377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D417F"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проблеми: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Проаналізувати доцільність витримки санітарно захисних зон (СЗЗ) до житлової забудови 100 м, до садівницьких товариств та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семель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сільськогосподарського призначення 50 м; для доріг </w:t>
      </w:r>
      <w:r w:rsidRPr="00D61F9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категорії слід приймати відповідно 50 і 25 м. Для захисту забудови від шуму і вихлопних газів автомобілів слід передбачати уздовж дороги смугу зелених насаджень завширшки не менше 10 м.</w:t>
      </w:r>
    </w:p>
    <w:p w:rsidR="008D3377" w:rsidRPr="00D61F9C" w:rsidRDefault="008D3377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Зв</w:t>
      </w:r>
      <w:proofErr w:type="spellEnd"/>
      <w:r w:rsidRPr="00D61F9C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  <w:proofErr w:type="spellEnd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із важливими науковими та практичними завданнями</w:t>
      </w:r>
      <w:r w:rsidRPr="00D61F9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Обраний напрям дослідження пов'язаний з проблемою недотримання СЗЗ, та направлений на визначення</w:t>
      </w:r>
      <w:r w:rsidR="001D0FF2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встановлення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FF2" w:rsidRPr="00D61F9C">
        <w:rPr>
          <w:rFonts w:ascii="Times New Roman" w:hAnsi="Times New Roman" w:cs="Times New Roman"/>
          <w:sz w:val="28"/>
          <w:szCs w:val="28"/>
          <w:lang w:val="uk-UA"/>
        </w:rPr>
        <w:t>оптимально необхідних санітарно захисних зон.</w:t>
      </w:r>
    </w:p>
    <w:p w:rsidR="00BA1ACA" w:rsidRPr="00D61F9C" w:rsidRDefault="001D0FF2" w:rsidP="00BA1A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Аналіз останніх досліджень та публікацій, які стосуються вирішення цієї проблеми:</w:t>
      </w:r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Колодочка  О. М. </w:t>
      </w:r>
      <w:proofErr w:type="spellStart"/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>“Еколого-гігієнічна</w:t>
      </w:r>
      <w:proofErr w:type="spellEnd"/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оцінка забруднення ґрунту і суміжних об’єктів довкілля важкими металами та їх вплив на здоров'я населення в умовах техногенного навантаження “ .</w:t>
      </w:r>
      <w:r w:rsidR="00BA1ACA"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Дисертація присвячена питанням </w:t>
      </w:r>
      <w:proofErr w:type="spellStart"/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>еколого-гігієнічної</w:t>
      </w:r>
      <w:proofErr w:type="spellEnd"/>
      <w:r w:rsidR="00BA1ACA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оцінки вмісту важких металів у ґрунті та суміжних об’єктах довкілля на території великого промислового міста та їх впливу на стан здоров’я населення, а також проведені власні дослідження</w:t>
      </w:r>
    </w:p>
    <w:p w:rsidR="001D0FF2" w:rsidRPr="00D61F9C" w:rsidRDefault="00BA1ACA" w:rsidP="00BA1A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>вмісту важких металів у об’єктах довкілля.</w:t>
      </w:r>
    </w:p>
    <w:p w:rsidR="001F62AF" w:rsidRPr="00D61F9C" w:rsidRDefault="001F62AF" w:rsidP="00BA1A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  Матвійчук Л.Ю. </w:t>
      </w:r>
      <w:r w:rsidRPr="00D61F9C">
        <w:rPr>
          <w:rFonts w:ascii="Times New Roman" w:hAnsi="Times New Roman" w:cs="Times New Roman"/>
          <w:sz w:val="28"/>
          <w:szCs w:val="28"/>
        </w:rPr>
        <w:t>“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забруднення важкими металами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приавтомагістральних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територій Волинської області</w:t>
      </w:r>
      <w:r w:rsidRPr="00D61F9C">
        <w:rPr>
          <w:rFonts w:ascii="Times New Roman" w:hAnsi="Times New Roman" w:cs="Times New Roman"/>
          <w:sz w:val="28"/>
          <w:szCs w:val="28"/>
        </w:rPr>
        <w:t xml:space="preserve"> ”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. Дисертація присвячена вивченню закономірностей забруднення автомобільними джерелами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приавтомагістральних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територій Волинської області. Охарактеризовано підходи до аналізу сучасної структури пришляхової мережі.</w:t>
      </w:r>
      <w:r w:rsidR="00F02B48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ландшафтно-геохімічне обстеження основних </w:t>
      </w:r>
      <w:proofErr w:type="spellStart"/>
      <w:r w:rsidR="00F02B48" w:rsidRPr="00D61F9C">
        <w:rPr>
          <w:rFonts w:ascii="Times New Roman" w:hAnsi="Times New Roman" w:cs="Times New Roman"/>
          <w:sz w:val="28"/>
          <w:szCs w:val="28"/>
          <w:lang w:val="uk-UA"/>
        </w:rPr>
        <w:t>приавтомагістральних</w:t>
      </w:r>
      <w:proofErr w:type="spellEnd"/>
      <w:r w:rsidR="00F02B48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смуг автомобільних доріг при магістрального значення Волинської області.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03FB" w:rsidRPr="00D61F9C" w:rsidRDefault="00B6434A" w:rsidP="00B64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    </w:t>
      </w:r>
      <w:r w:rsidRPr="00D61F9C">
        <w:rPr>
          <w:rFonts w:ascii="Times New Roman" w:hAnsi="Times New Roman" w:cs="Times New Roman"/>
          <w:spacing w:val="-6"/>
          <w:sz w:val="28"/>
          <w:szCs w:val="28"/>
        </w:rPr>
        <w:t>Колесник С.І. “</w:t>
      </w:r>
      <w:proofErr w:type="spellStart"/>
      <w:r w:rsidRPr="00D61F9C">
        <w:rPr>
          <w:rFonts w:ascii="Times New Roman" w:hAnsi="Times New Roman" w:cs="Times New Roman"/>
          <w:spacing w:val="-6"/>
          <w:sz w:val="28"/>
          <w:szCs w:val="28"/>
        </w:rPr>
        <w:t>Статистична</w:t>
      </w:r>
      <w:proofErr w:type="spell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pacing w:val="-6"/>
          <w:sz w:val="28"/>
          <w:szCs w:val="28"/>
        </w:rPr>
        <w:t>оцінка</w:t>
      </w:r>
      <w:proofErr w:type="spell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pacing w:val="-6"/>
          <w:sz w:val="28"/>
          <w:szCs w:val="28"/>
        </w:rPr>
        <w:t>забруднення</w:t>
      </w:r>
      <w:proofErr w:type="spell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D61F9C">
        <w:rPr>
          <w:rFonts w:ascii="Times New Roman" w:hAnsi="Times New Roman" w:cs="Times New Roman"/>
          <w:spacing w:val="-6"/>
          <w:sz w:val="28"/>
          <w:szCs w:val="28"/>
        </w:rPr>
        <w:t>атмосферного</w:t>
      </w:r>
      <w:proofErr w:type="gram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pacing w:val="-6"/>
          <w:sz w:val="28"/>
          <w:szCs w:val="28"/>
        </w:rPr>
        <w:t>повітря</w:t>
      </w:r>
      <w:proofErr w:type="spell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pacing w:val="-6"/>
          <w:sz w:val="28"/>
          <w:szCs w:val="28"/>
        </w:rPr>
        <w:t>автомобільним</w:t>
      </w:r>
      <w:proofErr w:type="spellEnd"/>
      <w:r w:rsidRPr="00D61F9C">
        <w:rPr>
          <w:rFonts w:ascii="Times New Roman" w:hAnsi="Times New Roman" w:cs="Times New Roman"/>
          <w:spacing w:val="-6"/>
          <w:sz w:val="28"/>
          <w:szCs w:val="28"/>
        </w:rPr>
        <w:t xml:space="preserve"> транспортом”.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Дисертацію присвячено дослідженню методологічних та практичних засад статистичного визначення обсягів забруднення атмосферного повітря шкідливими речовинами, які відходять з відпрацьованими газами двигунів автомобільного транспорту.</w:t>
      </w:r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запропоновано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D61F9C">
        <w:rPr>
          <w:rFonts w:ascii="Times New Roman" w:hAnsi="Times New Roman" w:cs="Times New Roman"/>
          <w:sz w:val="28"/>
          <w:szCs w:val="28"/>
        </w:rPr>
        <w:t>практичного</w:t>
      </w:r>
      <w:proofErr w:type="gram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методику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викидів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забруднюючих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атмосферне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автотранспорту </w:t>
      </w:r>
      <w:r w:rsidRPr="00D61F9C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чинної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автомобільного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транспорту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вибіркового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</w:rPr>
        <w:t>автомобілі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3503FB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B6434A" w:rsidRPr="00D61F9C" w:rsidRDefault="00B6434A" w:rsidP="00D72D5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Невирішені частини загальної проблеми: </w:t>
      </w:r>
      <w:r w:rsidRPr="00D61F9C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Входження України до загальноєвропейської системи екологічної безпеки вимагає проведення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належної природоохоронної політики, що забезпечить екологічно безпечний соціально-економічний розвиток країни.</w:t>
      </w:r>
    </w:p>
    <w:p w:rsidR="00B6434A" w:rsidRPr="00D61F9C" w:rsidRDefault="00B6434A" w:rsidP="00D72D5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02B48"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  <w:r w:rsidRPr="00D61F9C">
        <w:rPr>
          <w:rFonts w:ascii="Times New Roman" w:hAnsi="Times New Roman" w:cs="Times New Roman"/>
          <w:b/>
          <w:sz w:val="28"/>
          <w:szCs w:val="28"/>
        </w:rPr>
        <w:t>:</w:t>
      </w:r>
    </w:p>
    <w:p w:rsidR="00B6434A" w:rsidRPr="00D61F9C" w:rsidRDefault="00B6434A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Експерементально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</w:t>
      </w:r>
      <w:r w:rsidR="0057696B" w:rsidRPr="00D61F9C">
        <w:rPr>
          <w:rFonts w:ascii="Times New Roman" w:hAnsi="Times New Roman" w:cs="Times New Roman"/>
          <w:sz w:val="28"/>
          <w:szCs w:val="28"/>
          <w:lang w:val="uk-UA"/>
        </w:rPr>
        <w:t>вплив важких металів на прилеглі землі пересувними джерелами забруднення, та поширення тяжких металів з відстанню.</w:t>
      </w:r>
    </w:p>
    <w:p w:rsidR="00F02B48" w:rsidRPr="00D61F9C" w:rsidRDefault="00F02B48" w:rsidP="00D72D5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Виклад основного матеріалу</w:t>
      </w:r>
      <w:r w:rsidRPr="00D61F9C">
        <w:rPr>
          <w:rFonts w:ascii="Times New Roman" w:hAnsi="Times New Roman" w:cs="Times New Roman"/>
          <w:b/>
          <w:sz w:val="28"/>
          <w:szCs w:val="28"/>
        </w:rPr>
        <w:t>:</w:t>
      </w: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72D52" w:rsidRPr="00D61F9C" w:rsidRDefault="00F02B48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E2192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Забруднення території від пересувних джерел , за даними Львівського обласного статистичного управління, у 2008 році склала </w:t>
      </w:r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>266,858</w:t>
      </w:r>
      <w:r w:rsidR="00AE2192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тис. тон</w:t>
      </w:r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>н. Викиди в атмосферне повітря від автотранспорту у 2008р. складають 140, 444 тис. тонн. Біля 75% металів, що містяться в бензині виділяється у вигляді галогенних з</w:t>
      </w:r>
      <w:r w:rsidR="00D72D52" w:rsidRPr="00D61F9C">
        <w:rPr>
          <w:rFonts w:ascii="Times New Roman" w:hAnsi="Times New Roman" w:cs="Times New Roman"/>
          <w:sz w:val="28"/>
          <w:szCs w:val="28"/>
        </w:rPr>
        <w:t>’</w:t>
      </w:r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єднань разом з відпрацьованими газами. Основна кількість важких металів накопичується в поверхневих </w:t>
      </w:r>
      <w:proofErr w:type="spellStart"/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>слоях</w:t>
      </w:r>
      <w:proofErr w:type="spellEnd"/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="00D72D52" w:rsidRPr="00D61F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2D52" w:rsidRPr="00D61F9C" w:rsidRDefault="00DE27CA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Найбільш небезпечними площами, забрудненими важкими металами є площі у безпосередній близькості від трас. Дослідження [1-3] показали, що на відстані до 200 м від полотна автодороги виявлено у великих концентраціях хімічні елементи – натрій, магній, алюміній, барій, хром, марганець, кобальт, мідь. Максимальне нагромадження свинцю, титану, нікелю, спостерігається на відстані 50 м, а в деяких районах на відстані 100м.</w:t>
      </w:r>
    </w:p>
    <w:p w:rsidR="000F2FFA" w:rsidRPr="00D61F9C" w:rsidRDefault="000F2FFA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Вирощування продукції на таких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грунтах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є дуже небезпечним</w:t>
      </w:r>
      <w:r w:rsidR="00042A7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для споживання, оскільки важкі метали, що накопичуються в </w:t>
      </w:r>
      <w:proofErr w:type="spellStart"/>
      <w:r w:rsidR="00042A7D" w:rsidRPr="00D61F9C">
        <w:rPr>
          <w:rFonts w:ascii="Times New Roman" w:hAnsi="Times New Roman" w:cs="Times New Roman"/>
          <w:sz w:val="28"/>
          <w:szCs w:val="28"/>
          <w:lang w:val="uk-UA"/>
        </w:rPr>
        <w:t>грунтах</w:t>
      </w:r>
      <w:proofErr w:type="spellEnd"/>
      <w:r w:rsidR="00042A7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потрапляють через продукти харчування  до споживача, накопичуються в організмі і негативно впливають на здоров</w:t>
      </w:r>
      <w:r w:rsidR="00042A7D" w:rsidRPr="00D61F9C">
        <w:rPr>
          <w:rFonts w:ascii="Times New Roman" w:hAnsi="Times New Roman" w:cs="Times New Roman"/>
          <w:sz w:val="28"/>
          <w:szCs w:val="28"/>
        </w:rPr>
        <w:t>’</w:t>
      </w:r>
      <w:r w:rsidR="00042A7D" w:rsidRPr="00D61F9C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6515F9" w:rsidRPr="00D61F9C" w:rsidRDefault="00042A7D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515F9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забруднення </w:t>
      </w:r>
      <w:proofErr w:type="spellStart"/>
      <w:r w:rsidR="006515F9" w:rsidRPr="00D61F9C">
        <w:rPr>
          <w:rFonts w:ascii="Times New Roman" w:hAnsi="Times New Roman" w:cs="Times New Roman"/>
          <w:sz w:val="28"/>
          <w:szCs w:val="28"/>
          <w:lang w:val="uk-UA"/>
        </w:rPr>
        <w:t>грунтів</w:t>
      </w:r>
      <w:proofErr w:type="spellEnd"/>
      <w:r w:rsidR="006515F9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біля автотрас за насиченістю нерівномірне і залежить від багатьох чинників: інтенсивність руху автотранспорту; вантажонапруженість траси; швидкість і направлення вітру (роза вітрів); наявність лісосмуг біля автотрас і їх ширина.</w:t>
      </w:r>
    </w:p>
    <w:p w:rsidR="0095285B" w:rsidRPr="00D61F9C" w:rsidRDefault="00430B21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Найбільша кількість важких металів накопичується у всіх органах рослин, що росли в зонах до 40 м вздовж автодороги. В зерні виявилося цинку більше на 101-133%, свинцю – на 25-75%, нікелю – на 33-67%, кобальту на 50%, кадмію в два-три рази . При переробці такого забрудненого зерна вміст у ньому забруднених металів зменшується на 90% і часто не перевищує ГДК.</w:t>
      </w:r>
    </w:p>
    <w:p w:rsidR="0095285B" w:rsidRPr="00D61F9C" w:rsidRDefault="0095285B" w:rsidP="00D72D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285B" w:rsidRPr="00D61F9C" w:rsidRDefault="0057696B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</w:t>
      </w: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Валовий фоновий вміст і ГДК важких металів у </w:t>
      </w:r>
      <w:proofErr w:type="spellStart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грунтах</w:t>
      </w:r>
      <w:proofErr w:type="spellEnd"/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приведено В Таблиці 1</w:t>
      </w:r>
    </w:p>
    <w:p w:rsidR="0095285B" w:rsidRPr="00D61F9C" w:rsidRDefault="0077485D" w:rsidP="0077485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i/>
          <w:sz w:val="28"/>
          <w:szCs w:val="28"/>
          <w:lang w:val="uk-UA"/>
        </w:rPr>
        <w:t>Таблиця 1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5285B" w:rsidRPr="00D61F9C" w:rsidTr="0095285B">
        <w:tc>
          <w:tcPr>
            <w:tcW w:w="4785" w:type="dxa"/>
          </w:tcPr>
          <w:p w:rsidR="0095285B" w:rsidRPr="00D61F9C" w:rsidRDefault="00035B40" w:rsidP="00035B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4786" w:type="dxa"/>
          </w:tcPr>
          <w:p w:rsidR="0095285B" w:rsidRPr="00D61F9C" w:rsidRDefault="00035B40" w:rsidP="00035B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ГДК, мг/кг</w:t>
            </w:r>
          </w:p>
        </w:tc>
      </w:tr>
      <w:tr w:rsidR="0095285B" w:rsidRPr="00D61F9C" w:rsidTr="0095285B">
        <w:tc>
          <w:tcPr>
            <w:tcW w:w="4785" w:type="dxa"/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Ванадій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</w:tr>
      <w:tr w:rsidR="0095285B" w:rsidRPr="00D61F9C" w:rsidTr="0095285B">
        <w:tc>
          <w:tcPr>
            <w:tcW w:w="4785" w:type="dxa"/>
          </w:tcPr>
          <w:p w:rsidR="0095285B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Марганець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1500</w:t>
            </w:r>
          </w:p>
        </w:tc>
      </w:tr>
      <w:tr w:rsidR="0095285B" w:rsidRPr="00D61F9C" w:rsidTr="0095285B">
        <w:tc>
          <w:tcPr>
            <w:tcW w:w="4785" w:type="dxa"/>
          </w:tcPr>
          <w:p w:rsidR="0095285B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Хром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  <w:tr w:rsidR="0095285B" w:rsidRPr="00D61F9C" w:rsidTr="0095285B">
        <w:tc>
          <w:tcPr>
            <w:tcW w:w="4785" w:type="dxa"/>
          </w:tcPr>
          <w:p w:rsidR="0095285B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Кобальт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95285B" w:rsidRPr="00D61F9C" w:rsidTr="0095285B">
        <w:tc>
          <w:tcPr>
            <w:tcW w:w="4785" w:type="dxa"/>
          </w:tcPr>
          <w:p w:rsidR="0095285B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Нікель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</w:t>
            </w:r>
          </w:p>
        </w:tc>
      </w:tr>
      <w:tr w:rsidR="0095285B" w:rsidRPr="00D61F9C" w:rsidTr="0095285B">
        <w:tc>
          <w:tcPr>
            <w:tcW w:w="4785" w:type="dxa"/>
          </w:tcPr>
          <w:p w:rsidR="0095285B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Мідь</w:t>
            </w:r>
          </w:p>
        </w:tc>
        <w:tc>
          <w:tcPr>
            <w:tcW w:w="4786" w:type="dxa"/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  <w:tr w:rsidR="0095285B" w:rsidRPr="00D61F9C" w:rsidTr="00035B40">
        <w:trPr>
          <w:trHeight w:val="405"/>
        </w:trPr>
        <w:tc>
          <w:tcPr>
            <w:tcW w:w="4785" w:type="dxa"/>
            <w:tcBorders>
              <w:bottom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Цинк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95285B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</w:t>
            </w:r>
          </w:p>
        </w:tc>
      </w:tr>
      <w:tr w:rsidR="00035B40" w:rsidRPr="00D61F9C" w:rsidTr="00035B40">
        <w:trPr>
          <w:trHeight w:val="425"/>
        </w:trPr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Селен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35B40" w:rsidRPr="00D61F9C" w:rsidTr="00035B40">
        <w:trPr>
          <w:trHeight w:val="345"/>
        </w:trPr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Кадмій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35B40" w:rsidRPr="00D61F9C" w:rsidTr="00035B40">
        <w:trPr>
          <w:trHeight w:val="350"/>
        </w:trPr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Ртуть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</w:tr>
      <w:tr w:rsidR="00035B40" w:rsidRPr="00D61F9C" w:rsidTr="0077485D">
        <w:trPr>
          <w:trHeight w:val="309"/>
        </w:trPr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Свинець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35B40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035B40" w:rsidRPr="00D61F9C" w:rsidTr="0077485D">
        <w:trPr>
          <w:trHeight w:val="360"/>
        </w:trPr>
        <w:tc>
          <w:tcPr>
            <w:tcW w:w="4785" w:type="dxa"/>
            <w:tcBorders>
              <w:top w:val="single" w:sz="4" w:space="0" w:color="auto"/>
            </w:tcBorders>
          </w:tcPr>
          <w:p w:rsidR="00035B40" w:rsidRPr="00D61F9C" w:rsidRDefault="00035B40" w:rsidP="00D72D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Стронцій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035B40" w:rsidRPr="00D61F9C" w:rsidRDefault="0026497C" w:rsidP="00774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1F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</w:tr>
    </w:tbl>
    <w:p w:rsidR="009B1B04" w:rsidRPr="00D61F9C" w:rsidRDefault="009B1B04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485D" w:rsidRPr="00D61F9C" w:rsidRDefault="0077485D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Експерементальні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вмісту важких металів проводились на автодорозі Київ – Чоп (М-06), а саме, на відрізку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Деревач-Тростянець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7A8A" w:rsidRPr="00D61F9C" w:rsidRDefault="00DD7A8A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На рис.1 зображена схема автодороги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Деревач-Тростянець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7A8A" w:rsidRPr="00D61F9C" w:rsidRDefault="00DD7A8A" w:rsidP="00DD7A8A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i/>
          <w:sz w:val="28"/>
          <w:szCs w:val="28"/>
          <w:lang w:val="uk-UA"/>
        </w:rPr>
        <w:t>Рис.1</w:t>
      </w:r>
    </w:p>
    <w:p w:rsidR="00DD7A8A" w:rsidRPr="00D61F9C" w:rsidRDefault="00DD7A8A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4124325"/>
            <wp:effectExtent l="19050" t="0" r="0" b="0"/>
            <wp:docPr id="1" name="Рисунок 1" descr="D:\Аспірантура\для кандидатської\деревач-тростянец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спірантура\для кандидатської\деревач-тростянець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04" cy="41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A8A" w:rsidRPr="00D61F9C" w:rsidRDefault="009B1B04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B1B04" w:rsidRPr="00D61F9C" w:rsidRDefault="005B4EA7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9B1B04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На більшій своїй протяжності М-06 відповідає категорії 1 автомобільних доріг: 4 смуги руху (по 2 в кожну сторону), ширина смуги руху 3,75 м, роздільна смуга між зустрічними напрямами 7 м. У більшості випадків вона не перетинається в одній площині з національними та регіональними автодорогами, а також залізницями. Однак, велика кількість автодоріг місцевого значення на перетині з М-06 не має багаторівневих транспортних розв'язок. До того ж, недостатня кількість надземних пішохідних переходів, ліві повороти на трасі і зупинки громадського транспорту не дозволяють віднести автодорогу М-06 до категорії 1а автомобільних доріг, іменованих автомагістралями. Тому обмеження швидкості на дорозі складає 110 км /год. У межах населених пунктів обмеження швидкості руху становить 60 км / год.</w:t>
      </w:r>
    </w:p>
    <w:p w:rsidR="00E34BEE" w:rsidRPr="00D61F9C" w:rsidRDefault="00E34BEE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Експеримент проводився у суху, сонячну погоду. Зразки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відбиралися на п</w:t>
      </w:r>
      <w:r w:rsidRPr="00D61F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яти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участках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автодороги</w:t>
      </w:r>
      <w:r w:rsidR="00676524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в обидві сторони на в</w:t>
      </w:r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>ідстані 5, 20 та 50м від краю дорожнього полотна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, загальною протяжністю</w:t>
      </w:r>
      <w:r w:rsidR="00676524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10,8 км.</w:t>
      </w:r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Проби </w:t>
      </w:r>
      <w:proofErr w:type="spellStart"/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брали на </w:t>
      </w:r>
      <w:proofErr w:type="spellStart"/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>гибині</w:t>
      </w:r>
      <w:proofErr w:type="spellEnd"/>
      <w:r w:rsidR="00DD6270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15см, після чого їх було ретельно висушено на сонці протягом 3-4 днів і віддано у лабораторію.</w:t>
      </w:r>
    </w:p>
    <w:p w:rsidR="006B79F1" w:rsidRPr="00D61F9C" w:rsidRDefault="006B79F1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Аналіз проб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проводився у лабораторії Національної академії наук України</w:t>
      </w:r>
      <w:r w:rsidRPr="00D61F9C">
        <w:rPr>
          <w:rFonts w:ascii="Times New Roman" w:hAnsi="Times New Roman" w:cs="Times New Roman"/>
          <w:sz w:val="28"/>
          <w:szCs w:val="28"/>
        </w:rPr>
        <w:t xml:space="preserve"> ”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Інститут екології Карпат</w:t>
      </w:r>
      <w:r w:rsidRPr="00D61F9C">
        <w:rPr>
          <w:rFonts w:ascii="Times New Roman" w:hAnsi="Times New Roman" w:cs="Times New Roman"/>
          <w:sz w:val="28"/>
          <w:szCs w:val="28"/>
        </w:rPr>
        <w:t>”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. Аналітичній обробці піддавали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дрібнозем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(фракція &lt; 1.0 мм)</w:t>
      </w:r>
    </w:p>
    <w:p w:rsidR="003B575C" w:rsidRPr="00D61F9C" w:rsidRDefault="006B79F1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Підготовку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грунтових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зразків до аналізу на валовий вміст важких металів здійснювали обробкою( 3 годинне кип</w:t>
      </w:r>
      <w:r w:rsidRPr="00D61F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ятіння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зразка у колбі К</w:t>
      </w:r>
      <w:r w:rsidRPr="00D61F9C">
        <w:rPr>
          <w:rFonts w:ascii="Times New Roman" w:hAnsi="Times New Roman" w:cs="Times New Roman"/>
          <w:sz w:val="28"/>
          <w:szCs w:val="28"/>
        </w:rPr>
        <w:t>’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єльдаля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попереднь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ожареної за 450 С проби </w:t>
      </w:r>
      <w:proofErr w:type="spellStart"/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>, у співвідношенні кислота</w:t>
      </w:r>
      <w:r w:rsidR="003B575C" w:rsidRPr="00D61F9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>грунт</w:t>
      </w:r>
      <w:proofErr w:type="spellEnd"/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3B575C" w:rsidRPr="00D61F9C">
        <w:rPr>
          <w:rFonts w:ascii="Times New Roman" w:hAnsi="Times New Roman" w:cs="Times New Roman"/>
          <w:sz w:val="28"/>
          <w:szCs w:val="28"/>
        </w:rPr>
        <w:t>:</w:t>
      </w:r>
      <w:r w:rsidR="003B575C" w:rsidRPr="00D61F9C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5B4EA7" w:rsidRPr="00D61F9C" w:rsidRDefault="003B575C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Метали визначали у фільтраті атомно-абсорбційним методом на спектрофотометрі С115М1 у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пропан-бутановому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полум</w:t>
      </w:r>
      <w:proofErr w:type="spellEnd"/>
      <w:r w:rsidRPr="00D61F9C">
        <w:rPr>
          <w:rFonts w:ascii="Times New Roman" w:hAnsi="Times New Roman" w:cs="Times New Roman"/>
          <w:sz w:val="28"/>
          <w:szCs w:val="28"/>
        </w:rPr>
        <w:t>’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>ї з використанням дейтерієвого коректора неселективної абсорбції. Відносна похибка не перевищувала 7%.</w:t>
      </w:r>
      <w:r w:rsidR="00436077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36077" w:rsidRPr="00D61F9C" w:rsidRDefault="00436077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75C" w:rsidRPr="00D61F9C" w:rsidRDefault="003B575C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3B575C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6092" cy="2776855"/>
            <wp:effectExtent l="19050" t="0" r="8858" b="0"/>
            <wp:docPr id="2" name="Рисунок 1" descr="D:\Аспірантура\S_115_M1-4082e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спірантура\S_115_M1-4082efa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05" cy="27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E34BEE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Спектрофотометр С115М1 призначений для визначення концентрацій хімічних елементів у водах: питні, поверхневі, стічні, води рибних господарств;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грунтах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, повітрі, харчових продуктах та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Адаптований до умов аналізу в біохімічних, агрохімічних, аналітичних лабораторіях, дослідних установ і промислових підприємств, які проводять елементний аналіз проб в хімії, геології, екології, фармакології, медицині, металургії і т.д. Конструктивно призначений для роботи в лабораторіях хімічно агресивних середовищ.</w:t>
      </w:r>
    </w:p>
    <w:p w:rsidR="00DD6270" w:rsidRPr="00D61F9C" w:rsidRDefault="00DD6270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D6270" w:rsidRPr="00D61F9C" w:rsidRDefault="00DD6270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Результати досліджень</w:t>
      </w:r>
      <w:r w:rsidRPr="00D61F9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6270" w:rsidRPr="00D61F9C" w:rsidRDefault="00DD6270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2362200"/>
            <wp:effectExtent l="19050" t="0" r="9525" b="0"/>
            <wp:docPr id="3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6077" w:rsidRPr="00D61F9C" w:rsidRDefault="00436077" w:rsidP="00DD62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1F9C" w:rsidRDefault="00436077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F9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29350" cy="3286125"/>
            <wp:effectExtent l="19050" t="0" r="0" b="0"/>
            <wp:docPr id="9" name="Рисунок 2" descr="D:\Аспірантура\для кандидатської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спірантура\для кандидатської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086" cy="328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6270" w:rsidRPr="00D61F9C" w:rsidRDefault="00DD6270" w:rsidP="00DD62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</w:rPr>
        <w:lastRenderedPageBreak/>
        <w:t>цинк</w:t>
      </w:r>
    </w:p>
    <w:p w:rsidR="00436077" w:rsidRPr="00D61F9C" w:rsidRDefault="00DD6270" w:rsidP="00DD6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2276475"/>
            <wp:effectExtent l="19050" t="0" r="9525" b="0"/>
            <wp:docPr id="4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1F9C">
        <w:rPr>
          <w:rFonts w:ascii="Times New Roman" w:hAnsi="Times New Roman" w:cs="Times New Roman"/>
          <w:b/>
          <w:sz w:val="28"/>
          <w:szCs w:val="28"/>
        </w:rPr>
        <w:t>Кадмій</w:t>
      </w:r>
      <w:proofErr w:type="spellEnd"/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2190750"/>
            <wp:effectExtent l="19050" t="0" r="9525" b="0"/>
            <wp:docPr id="5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1F9C" w:rsidRDefault="00D61F9C" w:rsidP="00DD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6270" w:rsidRPr="00D61F9C" w:rsidRDefault="00DD6270" w:rsidP="00DD62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1F9C">
        <w:rPr>
          <w:rFonts w:ascii="Times New Roman" w:hAnsi="Times New Roman" w:cs="Times New Roman"/>
          <w:b/>
          <w:sz w:val="28"/>
          <w:szCs w:val="28"/>
        </w:rPr>
        <w:lastRenderedPageBreak/>
        <w:t>свинець</w:t>
      </w:r>
      <w:proofErr w:type="spellEnd"/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2714625"/>
            <wp:effectExtent l="19050" t="0" r="9525" b="0"/>
            <wp:docPr id="6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6270" w:rsidRPr="00D61F9C" w:rsidRDefault="00DD6270" w:rsidP="00DD627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6270" w:rsidRPr="00D61F9C" w:rsidRDefault="00DD6270" w:rsidP="00DD627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61F9C">
        <w:rPr>
          <w:rFonts w:ascii="Times New Roman" w:hAnsi="Times New Roman" w:cs="Times New Roman"/>
          <w:b/>
          <w:i/>
          <w:sz w:val="28"/>
          <w:szCs w:val="28"/>
        </w:rPr>
        <w:t>Мідь</w:t>
      </w:r>
      <w:proofErr w:type="spellEnd"/>
    </w:p>
    <w:p w:rsidR="00DD6270" w:rsidRPr="00D61F9C" w:rsidRDefault="00DD6270" w:rsidP="00DD6270">
      <w:pPr>
        <w:rPr>
          <w:rFonts w:ascii="Times New Roman" w:hAnsi="Times New Roman" w:cs="Times New Roman"/>
          <w:sz w:val="28"/>
          <w:szCs w:val="28"/>
        </w:rPr>
      </w:pPr>
      <w:r w:rsidRPr="00D61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2714625"/>
            <wp:effectExtent l="19050" t="0" r="9525" b="0"/>
            <wp:docPr id="7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D6270" w:rsidRPr="00D61F9C" w:rsidRDefault="004B0AEC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259" w:rsidRPr="00D61F9C" w:rsidRDefault="00142259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3FB" w:rsidRPr="00D61F9C" w:rsidRDefault="003503FB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3FB" w:rsidRPr="00D61F9C" w:rsidRDefault="003503FB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3FB" w:rsidRPr="00D61F9C" w:rsidRDefault="003503FB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3FB" w:rsidRPr="00D61F9C" w:rsidRDefault="003503FB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1F9C" w:rsidRDefault="00D61F9C" w:rsidP="002260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179C" w:rsidRPr="00D61F9C" w:rsidRDefault="00FC33F5" w:rsidP="002260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Ділянка автодороги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Деревач-Тростянець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була вибрана для проведення досліджень тому, що відповідає категорії 1 автомобільних доріг та санітарно захисна зона має неоднорідний рельєф. По даним результатів досліджень можна бачити, що </w:t>
      </w:r>
      <w:r w:rsidR="00DF53B7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рівень гранично допустимої концентрації важких металів у </w:t>
      </w:r>
      <w:proofErr w:type="spellStart"/>
      <w:r w:rsidR="00DF53B7" w:rsidRPr="00D61F9C">
        <w:rPr>
          <w:rFonts w:ascii="Times New Roman" w:hAnsi="Times New Roman" w:cs="Times New Roman"/>
          <w:sz w:val="28"/>
          <w:szCs w:val="28"/>
          <w:lang w:val="uk-UA"/>
        </w:rPr>
        <w:t>грунтах</w:t>
      </w:r>
      <w:proofErr w:type="spellEnd"/>
      <w:r w:rsidR="00E0179C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не перевищує допустимого рівня</w:t>
      </w:r>
      <w:r w:rsidR="00DF53B7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>Знижений вміст тяжких металів по ліву сторону першого поперечника завдяки наявності лісоз</w:t>
      </w:r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ахисної смуги. Другий поперечник знаходиться на ділянці автодороги з </w:t>
      </w:r>
      <w:proofErr w:type="spellStart"/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>відкосами</w:t>
      </w:r>
      <w:proofErr w:type="spellEnd"/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в кожну сторону 8-9м. Шкідливі речовини поширюються в обох напрямках приблизно на однакову відстань, це </w:t>
      </w:r>
      <w:proofErr w:type="spellStart"/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>світчить</w:t>
      </w:r>
      <w:proofErr w:type="spellEnd"/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про те, що роза вітрів на даному відрізку не має вагомого впливу. На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8CB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ділянці з третім поперечником 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>, двох метрових насипів з обох боків</w:t>
      </w:r>
      <w:r w:rsidR="00E0179C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від автодороги по результатам аналізу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є не достатньо</w:t>
      </w:r>
      <w:r w:rsidR="00E0179C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, тому рекомендуємо засаджувати ще й захисну смугу з чагарнику </w:t>
      </w:r>
      <w:proofErr w:type="spellStart"/>
      <w:r w:rsidR="00E0179C" w:rsidRPr="00D61F9C">
        <w:rPr>
          <w:rFonts w:ascii="Times New Roman" w:hAnsi="Times New Roman" w:cs="Times New Roman"/>
          <w:sz w:val="28"/>
          <w:szCs w:val="28"/>
          <w:lang w:val="uk-UA"/>
        </w:rPr>
        <w:t>шориною</w:t>
      </w:r>
      <w:proofErr w:type="spellEnd"/>
    </w:p>
    <w:p w:rsidR="003503FB" w:rsidRPr="00D61F9C" w:rsidRDefault="00E0179C" w:rsidP="00E017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5-10м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На ділянці з четвертим поперечником зліва знаходиться сіножать, а з права незначний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відкіс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. Рівень важких металів не перевищує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ГДК.</w:t>
      </w:r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proofErr w:type="spellEnd"/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наближена до максимально допустимого рівня ГДК ділянка з п</w:t>
      </w:r>
      <w:r w:rsidR="002260DD" w:rsidRPr="00D61F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>ятим</w:t>
      </w:r>
      <w:proofErr w:type="spellEnd"/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поперечником, це зумовлено досить різким </w:t>
      </w:r>
      <w:proofErr w:type="spellStart"/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>наклоном</w:t>
      </w:r>
      <w:proofErr w:type="spellEnd"/>
      <w:r w:rsidR="002260DD"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автодороги, і при підйомі в гору вихлоп шкідливих речовин в автомобілях зростає.</w:t>
      </w:r>
    </w:p>
    <w:p w:rsidR="003503FB" w:rsidRPr="00D61F9C" w:rsidRDefault="00E0179C" w:rsidP="00D72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3503FB" w:rsidRPr="00D61F9C" w:rsidRDefault="00E0179C" w:rsidP="00D72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61F9C" w:rsidRPr="00D61F9C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Входження України до загальноєвропейської системи екологічної безпеки вимагає проведення </w:t>
      </w:r>
      <w:r w:rsidR="00D61F9C" w:rsidRPr="00D61F9C">
        <w:rPr>
          <w:rFonts w:ascii="Times New Roman" w:hAnsi="Times New Roman" w:cs="Times New Roman"/>
          <w:sz w:val="28"/>
          <w:szCs w:val="28"/>
          <w:lang w:val="uk-UA"/>
        </w:rPr>
        <w:t>належної природоохоронної політики, що забезпечить екологічно безпечний соціально-економічний розвиток країни.</w:t>
      </w:r>
    </w:p>
    <w:p w:rsidR="00D61F9C" w:rsidRPr="00D61F9C" w:rsidRDefault="00D61F9C" w:rsidP="00D61F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D61F9C">
        <w:rPr>
          <w:rFonts w:ascii="Times New Roman" w:hAnsi="Times New Roman" w:cs="Times New Roman"/>
          <w:sz w:val="28"/>
          <w:szCs w:val="28"/>
          <w:lang w:val="uk-UA"/>
        </w:rPr>
        <w:t>Експерементально</w:t>
      </w:r>
      <w:proofErr w:type="spellEnd"/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 вплив важких металів на прилеглі землі пересувними джерелами забруднення,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 з відстанню. Хоча по всій ділянці на якій проводився експеримент рівень ГДК </w:t>
      </w:r>
      <w:r>
        <w:rPr>
          <w:rFonts w:ascii="Times New Roman" w:hAnsi="Times New Roman" w:cs="Times New Roman"/>
          <w:sz w:val="28"/>
          <w:szCs w:val="28"/>
          <w:lang w:val="uk-UA"/>
        </w:rPr>
        <w:t>тяжких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металів не перевищував допустимий рівень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61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1F9C">
        <w:rPr>
          <w:rStyle w:val="FontStyle113"/>
          <w:rFonts w:eastAsia="Times New Roman"/>
          <w:b w:val="0"/>
          <w:sz w:val="28"/>
          <w:szCs w:val="28"/>
          <w:lang w:val="uk-UA"/>
        </w:rPr>
        <w:t>необхідно здійснювати влаштовування зелених смуг-екранів</w:t>
      </w:r>
      <w:r w:rsidR="009E1011">
        <w:rPr>
          <w:rStyle w:val="FontStyle113"/>
          <w:rFonts w:eastAsia="Times New Roman"/>
          <w:b w:val="0"/>
          <w:sz w:val="28"/>
          <w:szCs w:val="28"/>
          <w:lang w:val="uk-UA"/>
        </w:rPr>
        <w:t xml:space="preserve">, а </w:t>
      </w:r>
      <w:r w:rsidR="009E1011" w:rsidRPr="009E1011">
        <w:rPr>
          <w:rStyle w:val="FontStyle113"/>
          <w:b w:val="0"/>
          <w:sz w:val="28"/>
          <w:szCs w:val="28"/>
          <w:lang w:val="uk-UA"/>
        </w:rPr>
        <w:t>при наявності інженерних мереж - необхідне влаштовування фільтруючих зелених смуг.</w:t>
      </w:r>
    </w:p>
    <w:p w:rsidR="00D61F9C" w:rsidRPr="00B6434A" w:rsidRDefault="00D61F9C" w:rsidP="00D61F9C">
      <w:pPr>
        <w:spacing w:after="0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503FB" w:rsidRDefault="003503FB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6434A" w:rsidRDefault="00B6434A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6434A" w:rsidRDefault="00B6434A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6434A" w:rsidRDefault="00B6434A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6434A" w:rsidRDefault="00B6434A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142259" w:rsidRDefault="00142259" w:rsidP="00D72D52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літератури</w:t>
      </w:r>
    </w:p>
    <w:p w:rsidR="00142259" w:rsidRDefault="00142259" w:rsidP="00D72D5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D3EC8" w:rsidRPr="00BD3EC8" w:rsidRDefault="00BD3EC8" w:rsidP="00BD3EC8">
      <w:pPr>
        <w:pStyle w:val="a6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BD3EC8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олодочка</w:t>
      </w:r>
      <w:r w:rsidRPr="00BD3EC8">
        <w:rPr>
          <w:sz w:val="28"/>
          <w:szCs w:val="28"/>
          <w:lang w:val="uk-UA"/>
        </w:rPr>
        <w:t xml:space="preserve">  О</w:t>
      </w:r>
      <w:r>
        <w:rPr>
          <w:sz w:val="28"/>
          <w:szCs w:val="28"/>
          <w:lang w:val="uk-UA"/>
        </w:rPr>
        <w:t xml:space="preserve">. М. </w:t>
      </w:r>
      <w:proofErr w:type="spellStart"/>
      <w:r w:rsidRPr="00BD3EC8">
        <w:rPr>
          <w:sz w:val="28"/>
          <w:szCs w:val="28"/>
          <w:lang w:val="uk-UA"/>
        </w:rPr>
        <w:t>“Еколого-гігієнічна</w:t>
      </w:r>
      <w:proofErr w:type="spellEnd"/>
      <w:r w:rsidRPr="00BD3EC8">
        <w:rPr>
          <w:sz w:val="28"/>
          <w:szCs w:val="28"/>
          <w:lang w:val="uk-UA"/>
        </w:rPr>
        <w:t xml:space="preserve"> оцінка забруднення ґрунту і суміжних об’єктів</w:t>
      </w:r>
      <w:r w:rsidRPr="00BD3EC8">
        <w:rPr>
          <w:sz w:val="28"/>
          <w:szCs w:val="28"/>
        </w:rPr>
        <w:t xml:space="preserve"> </w:t>
      </w:r>
      <w:r w:rsidRPr="00BD3EC8">
        <w:rPr>
          <w:sz w:val="28"/>
          <w:szCs w:val="28"/>
          <w:lang w:val="uk-UA"/>
        </w:rPr>
        <w:t xml:space="preserve">довкілля важкими металами та їх вплив на здоров'я населення в </w:t>
      </w:r>
      <w:proofErr w:type="spellStart"/>
      <w:r w:rsidRPr="00BD3EC8">
        <w:rPr>
          <w:sz w:val="28"/>
          <w:szCs w:val="28"/>
          <w:lang w:val="uk-UA"/>
        </w:rPr>
        <w:t>умовахтехногенного</w:t>
      </w:r>
      <w:proofErr w:type="spellEnd"/>
      <w:r w:rsidRPr="00BD3EC8">
        <w:rPr>
          <w:sz w:val="28"/>
          <w:szCs w:val="28"/>
          <w:lang w:val="uk-UA"/>
        </w:rPr>
        <w:t xml:space="preserve"> навантаження </w:t>
      </w:r>
      <w:r w:rsidRPr="00BD3EC8">
        <w:rPr>
          <w:sz w:val="28"/>
          <w:szCs w:val="28"/>
        </w:rPr>
        <w:t xml:space="preserve">“ </w:t>
      </w:r>
      <w:r w:rsidRPr="00BD3EC8">
        <w:rPr>
          <w:sz w:val="28"/>
          <w:szCs w:val="28"/>
          <w:lang w:val="uk-UA"/>
        </w:rPr>
        <w:t>УДК 614.76:612-092.11]-037:711.454</w:t>
      </w:r>
      <w:r w:rsidRPr="00BD3EC8">
        <w:rPr>
          <w:sz w:val="28"/>
          <w:szCs w:val="28"/>
        </w:rPr>
        <w:t>.</w:t>
      </w:r>
    </w:p>
    <w:p w:rsidR="00142259" w:rsidRPr="003503FB" w:rsidRDefault="00BA1ACA" w:rsidP="003503FB">
      <w:pPr>
        <w:pStyle w:val="a6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3503FB">
        <w:rPr>
          <w:sz w:val="28"/>
          <w:szCs w:val="28"/>
          <w:lang w:val="uk-UA"/>
        </w:rPr>
        <w:t>Матвійчук Л.Ю.</w:t>
      </w:r>
      <w:r w:rsidR="001F62AF" w:rsidRPr="003503FB">
        <w:rPr>
          <w:sz w:val="28"/>
          <w:szCs w:val="28"/>
          <w:lang w:val="uk-UA"/>
        </w:rPr>
        <w:t xml:space="preserve"> </w:t>
      </w:r>
      <w:r w:rsidR="001F62AF" w:rsidRPr="003503FB">
        <w:rPr>
          <w:sz w:val="28"/>
          <w:szCs w:val="28"/>
        </w:rPr>
        <w:t>“</w:t>
      </w:r>
      <w:r w:rsidR="001F62AF" w:rsidRPr="003503FB">
        <w:rPr>
          <w:sz w:val="28"/>
          <w:szCs w:val="28"/>
          <w:lang w:val="uk-UA"/>
        </w:rPr>
        <w:t xml:space="preserve">Особливості забруднення важкими металами </w:t>
      </w:r>
      <w:proofErr w:type="spellStart"/>
      <w:r w:rsidR="001F62AF" w:rsidRPr="003503FB">
        <w:rPr>
          <w:sz w:val="28"/>
          <w:szCs w:val="28"/>
          <w:lang w:val="uk-UA"/>
        </w:rPr>
        <w:t>приавтомагістральних</w:t>
      </w:r>
      <w:proofErr w:type="spellEnd"/>
      <w:r w:rsidR="001F62AF" w:rsidRPr="003503FB">
        <w:rPr>
          <w:sz w:val="28"/>
          <w:szCs w:val="28"/>
          <w:lang w:val="uk-UA"/>
        </w:rPr>
        <w:t xml:space="preserve"> територій Волинської області</w:t>
      </w:r>
      <w:r w:rsidR="001F62AF" w:rsidRPr="003503FB">
        <w:rPr>
          <w:sz w:val="28"/>
          <w:szCs w:val="28"/>
        </w:rPr>
        <w:t>”</w:t>
      </w:r>
      <w:r w:rsidR="001F62AF" w:rsidRPr="003503FB">
        <w:rPr>
          <w:sz w:val="28"/>
          <w:szCs w:val="28"/>
          <w:lang w:val="uk-UA"/>
        </w:rPr>
        <w:t xml:space="preserve"> 2008р</w:t>
      </w:r>
    </w:p>
    <w:p w:rsidR="003503FB" w:rsidRPr="003503FB" w:rsidRDefault="003503FB" w:rsidP="003503FB">
      <w:pPr>
        <w:pStyle w:val="a6"/>
        <w:widowControl w:val="0"/>
        <w:numPr>
          <w:ilvl w:val="0"/>
          <w:numId w:val="1"/>
        </w:numPr>
        <w:spacing w:line="360" w:lineRule="auto"/>
        <w:jc w:val="both"/>
        <w:rPr>
          <w:rFonts w:cstheme="minorHAnsi"/>
          <w:spacing w:val="-6"/>
          <w:sz w:val="28"/>
          <w:szCs w:val="28"/>
        </w:rPr>
      </w:pPr>
      <w:r w:rsidRPr="003503FB">
        <w:rPr>
          <w:rFonts w:cstheme="minorHAnsi"/>
          <w:spacing w:val="-6"/>
          <w:sz w:val="28"/>
          <w:szCs w:val="28"/>
        </w:rPr>
        <w:t>Колесник С.І. “</w:t>
      </w:r>
      <w:proofErr w:type="spellStart"/>
      <w:r w:rsidRPr="003503FB">
        <w:rPr>
          <w:rFonts w:cstheme="minorHAnsi"/>
          <w:spacing w:val="-6"/>
          <w:sz w:val="28"/>
          <w:szCs w:val="28"/>
        </w:rPr>
        <w:t>Статистична</w:t>
      </w:r>
      <w:proofErr w:type="spellEnd"/>
      <w:r w:rsidRPr="003503FB">
        <w:rPr>
          <w:rFonts w:cstheme="minorHAnsi"/>
          <w:spacing w:val="-6"/>
          <w:sz w:val="28"/>
          <w:szCs w:val="28"/>
        </w:rPr>
        <w:t xml:space="preserve"> </w:t>
      </w:r>
      <w:proofErr w:type="spellStart"/>
      <w:r w:rsidRPr="003503FB">
        <w:rPr>
          <w:rFonts w:cstheme="minorHAnsi"/>
          <w:spacing w:val="-6"/>
          <w:sz w:val="28"/>
          <w:szCs w:val="28"/>
        </w:rPr>
        <w:t>оцінка</w:t>
      </w:r>
      <w:proofErr w:type="spellEnd"/>
      <w:r w:rsidRPr="003503FB">
        <w:rPr>
          <w:rFonts w:cstheme="minorHAnsi"/>
          <w:spacing w:val="-6"/>
          <w:sz w:val="28"/>
          <w:szCs w:val="28"/>
        </w:rPr>
        <w:t xml:space="preserve"> </w:t>
      </w:r>
      <w:proofErr w:type="spellStart"/>
      <w:r w:rsidRPr="003503FB">
        <w:rPr>
          <w:rFonts w:cstheme="minorHAnsi"/>
          <w:spacing w:val="-6"/>
          <w:sz w:val="28"/>
          <w:szCs w:val="28"/>
        </w:rPr>
        <w:t>з</w:t>
      </w:r>
      <w:r w:rsidR="00B6434A">
        <w:rPr>
          <w:rFonts w:cstheme="minorHAnsi"/>
          <w:spacing w:val="-6"/>
          <w:sz w:val="28"/>
          <w:szCs w:val="28"/>
        </w:rPr>
        <w:t>абруднення</w:t>
      </w:r>
      <w:proofErr w:type="spellEnd"/>
      <w:r w:rsidR="00B6434A">
        <w:rPr>
          <w:rFonts w:cstheme="minorHAnsi"/>
          <w:spacing w:val="-6"/>
          <w:sz w:val="28"/>
          <w:szCs w:val="28"/>
        </w:rPr>
        <w:t xml:space="preserve"> </w:t>
      </w:r>
      <w:proofErr w:type="gramStart"/>
      <w:r w:rsidR="00B6434A">
        <w:rPr>
          <w:rFonts w:cstheme="minorHAnsi"/>
          <w:spacing w:val="-6"/>
          <w:sz w:val="28"/>
          <w:szCs w:val="28"/>
        </w:rPr>
        <w:t>атмосферного</w:t>
      </w:r>
      <w:proofErr w:type="gramEnd"/>
      <w:r w:rsidR="00B6434A">
        <w:rPr>
          <w:rFonts w:cstheme="minorHAnsi"/>
          <w:spacing w:val="-6"/>
          <w:sz w:val="28"/>
          <w:szCs w:val="28"/>
        </w:rPr>
        <w:t xml:space="preserve"> </w:t>
      </w:r>
      <w:proofErr w:type="spellStart"/>
      <w:r w:rsidR="00B6434A">
        <w:rPr>
          <w:rFonts w:cstheme="minorHAnsi"/>
          <w:spacing w:val="-6"/>
          <w:sz w:val="28"/>
          <w:szCs w:val="28"/>
        </w:rPr>
        <w:t>повітря</w:t>
      </w:r>
      <w:proofErr w:type="spellEnd"/>
      <w:r w:rsidR="00B6434A">
        <w:rPr>
          <w:rFonts w:cstheme="minorHAnsi"/>
          <w:spacing w:val="-6"/>
          <w:sz w:val="28"/>
          <w:szCs w:val="28"/>
          <w:lang w:val="uk-UA"/>
        </w:rPr>
        <w:t xml:space="preserve"> </w:t>
      </w:r>
      <w:proofErr w:type="spellStart"/>
      <w:r w:rsidRPr="003503FB">
        <w:rPr>
          <w:rFonts w:cstheme="minorHAnsi"/>
          <w:spacing w:val="-6"/>
          <w:sz w:val="28"/>
          <w:szCs w:val="28"/>
        </w:rPr>
        <w:t>автомобільним</w:t>
      </w:r>
      <w:proofErr w:type="spellEnd"/>
      <w:r w:rsidRPr="003503FB">
        <w:rPr>
          <w:rFonts w:cstheme="minorHAnsi"/>
          <w:spacing w:val="-6"/>
          <w:sz w:val="28"/>
          <w:szCs w:val="28"/>
        </w:rPr>
        <w:t xml:space="preserve"> транспортом”. </w:t>
      </w:r>
      <w:r>
        <w:rPr>
          <w:rFonts w:cstheme="minorHAnsi"/>
          <w:spacing w:val="-6"/>
          <w:sz w:val="28"/>
          <w:szCs w:val="28"/>
          <w:lang w:val="uk-UA"/>
        </w:rPr>
        <w:t>Київ</w:t>
      </w:r>
      <w:r w:rsidRPr="00B6434A">
        <w:rPr>
          <w:rFonts w:cstheme="minorHAnsi"/>
          <w:spacing w:val="-6"/>
          <w:sz w:val="28"/>
          <w:szCs w:val="28"/>
        </w:rPr>
        <w:t xml:space="preserve"> 2004.</w:t>
      </w:r>
    </w:p>
    <w:p w:rsidR="003503FB" w:rsidRPr="003503FB" w:rsidRDefault="003503FB" w:rsidP="003503FB">
      <w:pPr>
        <w:pStyle w:val="a6"/>
        <w:spacing w:after="0" w:line="240" w:lineRule="auto"/>
        <w:jc w:val="both"/>
        <w:rPr>
          <w:sz w:val="28"/>
          <w:szCs w:val="28"/>
          <w:lang w:val="uk-UA"/>
        </w:rPr>
      </w:pPr>
    </w:p>
    <w:sectPr w:rsidR="003503FB" w:rsidRPr="003503FB" w:rsidSect="00D8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357C"/>
    <w:multiLevelType w:val="hybridMultilevel"/>
    <w:tmpl w:val="A40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E2192"/>
    <w:rsid w:val="00015C7E"/>
    <w:rsid w:val="00035B40"/>
    <w:rsid w:val="00042A7D"/>
    <w:rsid w:val="000F2FFA"/>
    <w:rsid w:val="00142259"/>
    <w:rsid w:val="001758CB"/>
    <w:rsid w:val="001D0FF2"/>
    <w:rsid w:val="001F62AF"/>
    <w:rsid w:val="002260DD"/>
    <w:rsid w:val="0026497C"/>
    <w:rsid w:val="003503FB"/>
    <w:rsid w:val="003B575C"/>
    <w:rsid w:val="003E4860"/>
    <w:rsid w:val="00430B21"/>
    <w:rsid w:val="00436077"/>
    <w:rsid w:val="004B0AEC"/>
    <w:rsid w:val="00551236"/>
    <w:rsid w:val="0057696B"/>
    <w:rsid w:val="005B4EA7"/>
    <w:rsid w:val="006515F9"/>
    <w:rsid w:val="00676524"/>
    <w:rsid w:val="006B79F1"/>
    <w:rsid w:val="0077485D"/>
    <w:rsid w:val="0085314D"/>
    <w:rsid w:val="008D3377"/>
    <w:rsid w:val="0095285B"/>
    <w:rsid w:val="009B1B04"/>
    <w:rsid w:val="009E1011"/>
    <w:rsid w:val="00A970A3"/>
    <w:rsid w:val="00AD417F"/>
    <w:rsid w:val="00AE2192"/>
    <w:rsid w:val="00B6434A"/>
    <w:rsid w:val="00BA1ACA"/>
    <w:rsid w:val="00BD3EC8"/>
    <w:rsid w:val="00CB214A"/>
    <w:rsid w:val="00CD2770"/>
    <w:rsid w:val="00D61F9C"/>
    <w:rsid w:val="00D72D52"/>
    <w:rsid w:val="00D82F19"/>
    <w:rsid w:val="00DD6270"/>
    <w:rsid w:val="00DD7A8A"/>
    <w:rsid w:val="00DE27CA"/>
    <w:rsid w:val="00DF53B7"/>
    <w:rsid w:val="00E0179C"/>
    <w:rsid w:val="00E34BEE"/>
    <w:rsid w:val="00F02B48"/>
    <w:rsid w:val="00FC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28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D7A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42259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3503FB"/>
    <w:pPr>
      <w:autoSpaceDE w:val="0"/>
      <w:autoSpaceDN w:val="0"/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20">
    <w:name w:val="Основний текст 2 Знак"/>
    <w:basedOn w:val="a0"/>
    <w:link w:val="2"/>
    <w:uiPriority w:val="99"/>
    <w:rsid w:val="003503FB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113">
    <w:name w:val="Font Style113"/>
    <w:basedOn w:val="a0"/>
    <w:rsid w:val="00D61F9C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Pr>
        <a:bodyPr/>
        <a:lstStyle/>
        <a:p>
          <a:pPr>
            <a:defRPr lang="uk-UA"/>
          </a:pPr>
          <a:endParaRPr lang="ru-RU"/>
        </a:p>
      </c:txPr>
    </c:title>
    <c:plotArea>
      <c:layout/>
      <c:lineChart>
        <c:grouping val="standard"/>
        <c:ser>
          <c:idx val="3"/>
          <c:order val="0"/>
          <c:tx>
            <c:strRef>
              <c:f>Аркуш1!$E$1</c:f>
              <c:strCache>
                <c:ptCount val="1"/>
                <c:pt idx="0">
                  <c:v>дорога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370</c:v>
                </c:pt>
                <c:pt idx="1">
                  <c:v>365</c:v>
                </c:pt>
                <c:pt idx="2">
                  <c:v>375</c:v>
                </c:pt>
                <c:pt idx="3">
                  <c:v>375</c:v>
                </c:pt>
                <c:pt idx="4">
                  <c:v>343</c:v>
                </c:pt>
              </c:numCache>
            </c:numRef>
          </c:val>
        </c:ser>
        <c:marker val="1"/>
        <c:axId val="64567936"/>
        <c:axId val="64659840"/>
      </c:lineChart>
      <c:catAx>
        <c:axId val="6456793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64659840"/>
        <c:crosses val="autoZero"/>
        <c:auto val="1"/>
        <c:lblAlgn val="ctr"/>
        <c:lblOffset val="100"/>
      </c:catAx>
      <c:valAx>
        <c:axId val="646598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64567936"/>
        <c:crosses val="autoZero"/>
        <c:crossBetween val="between"/>
      </c:valAx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Аркуш1!$B$1</c:f>
              <c:strCache>
                <c:ptCount val="1"/>
                <c:pt idx="0">
                  <c:v>П 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27.9</c:v>
                </c:pt>
                <c:pt idx="1">
                  <c:v>31</c:v>
                </c:pt>
                <c:pt idx="2">
                  <c:v>31</c:v>
                </c:pt>
                <c:pt idx="3">
                  <c:v>32.1</c:v>
                </c:pt>
                <c:pt idx="4">
                  <c:v>62.1</c:v>
                </c:pt>
              </c:numCache>
            </c:numRef>
          </c:val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Л20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34.1</c:v>
                </c:pt>
                <c:pt idx="1">
                  <c:v>24.3</c:v>
                </c:pt>
                <c:pt idx="2">
                  <c:v>38.300000000000004</c:v>
                </c:pt>
                <c:pt idx="3">
                  <c:v>22.8</c:v>
                </c:pt>
                <c:pt idx="4">
                  <c:v>82.8</c:v>
                </c:pt>
              </c:numCache>
            </c:numRef>
          </c:val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 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27.9</c:v>
                </c:pt>
                <c:pt idx="1">
                  <c:v>23.8</c:v>
                </c:pt>
                <c:pt idx="2">
                  <c:v>34.1</c:v>
                </c:pt>
                <c:pt idx="3">
                  <c:v>31.6</c:v>
                </c:pt>
                <c:pt idx="4">
                  <c:v>55.9</c:v>
                </c:pt>
              </c:numCache>
            </c:numRef>
          </c:val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Л50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25.9</c:v>
                </c:pt>
                <c:pt idx="1">
                  <c:v>28.4</c:v>
                </c:pt>
                <c:pt idx="2">
                  <c:v>32.9</c:v>
                </c:pt>
                <c:pt idx="3">
                  <c:v>19.7</c:v>
                </c:pt>
                <c:pt idx="4">
                  <c:v>37.200000000000003</c:v>
                </c:pt>
              </c:numCache>
            </c:numRef>
          </c:val>
        </c:ser>
        <c:marker val="1"/>
        <c:axId val="68475520"/>
        <c:axId val="70769280"/>
      </c:lineChart>
      <c:catAx>
        <c:axId val="6847552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70769280"/>
        <c:crosses val="autoZero"/>
        <c:auto val="1"/>
        <c:lblAlgn val="ctr"/>
        <c:lblOffset val="100"/>
      </c:catAx>
      <c:valAx>
        <c:axId val="7076928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68475520"/>
        <c:crosses val="autoZero"/>
        <c:crossBetween val="between"/>
      </c:valAx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Аркуш1!$B$1</c:f>
              <c:strCache>
                <c:ptCount val="1"/>
                <c:pt idx="0">
                  <c:v>П 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0.22</c:v>
                </c:pt>
                <c:pt idx="1">
                  <c:v>0.12000000000000002</c:v>
                </c:pt>
                <c:pt idx="2">
                  <c:v>0.2</c:v>
                </c:pt>
                <c:pt idx="3">
                  <c:v>0.18000000000000019</c:v>
                </c:pt>
                <c:pt idx="4">
                  <c:v>0.73000000000000065</c:v>
                </c:pt>
              </c:numCache>
            </c:numRef>
          </c:val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Л20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0.15000000000000019</c:v>
                </c:pt>
                <c:pt idx="1">
                  <c:v>0.18000000000000019</c:v>
                </c:pt>
                <c:pt idx="2">
                  <c:v>0.34</c:v>
                </c:pt>
                <c:pt idx="3">
                  <c:v>0.22</c:v>
                </c:pt>
                <c:pt idx="4">
                  <c:v>0.59</c:v>
                </c:pt>
              </c:numCache>
            </c:numRef>
          </c:val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 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0.12000000000000002</c:v>
                </c:pt>
                <c:pt idx="1">
                  <c:v>0.2</c:v>
                </c:pt>
                <c:pt idx="2">
                  <c:v>0.29000000000000031</c:v>
                </c:pt>
                <c:pt idx="3">
                  <c:v>0.18000000000000019</c:v>
                </c:pt>
                <c:pt idx="4">
                  <c:v>0.66000000000000103</c:v>
                </c:pt>
              </c:numCache>
            </c:numRef>
          </c:val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Л50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0.13</c:v>
                </c:pt>
                <c:pt idx="1">
                  <c:v>0.18000000000000019</c:v>
                </c:pt>
                <c:pt idx="2">
                  <c:v>0.2</c:v>
                </c:pt>
                <c:pt idx="3">
                  <c:v>0.15000000000000019</c:v>
                </c:pt>
                <c:pt idx="4">
                  <c:v>0.29000000000000031</c:v>
                </c:pt>
              </c:numCache>
            </c:numRef>
          </c:val>
        </c:ser>
        <c:marker val="1"/>
        <c:axId val="79897728"/>
        <c:axId val="80314368"/>
      </c:lineChart>
      <c:catAx>
        <c:axId val="7989772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80314368"/>
        <c:crosses val="autoZero"/>
        <c:auto val="1"/>
        <c:lblAlgn val="ctr"/>
        <c:lblOffset val="100"/>
      </c:catAx>
      <c:valAx>
        <c:axId val="8031436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79897728"/>
        <c:crosses val="autoZero"/>
        <c:crossBetween val="between"/>
      </c:valAx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Аркуш1!$B$1</c:f>
              <c:strCache>
                <c:ptCount val="1"/>
                <c:pt idx="0">
                  <c:v>П 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14.9</c:v>
                </c:pt>
                <c:pt idx="1">
                  <c:v>14.4</c:v>
                </c:pt>
                <c:pt idx="2">
                  <c:v>15.6</c:v>
                </c:pt>
                <c:pt idx="3">
                  <c:v>14.4</c:v>
                </c:pt>
                <c:pt idx="4">
                  <c:v>28.8</c:v>
                </c:pt>
              </c:numCache>
            </c:numRef>
          </c:val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Л20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15.1</c:v>
                </c:pt>
                <c:pt idx="1">
                  <c:v>12.7</c:v>
                </c:pt>
                <c:pt idx="2">
                  <c:v>19.2</c:v>
                </c:pt>
                <c:pt idx="3">
                  <c:v>12</c:v>
                </c:pt>
                <c:pt idx="4">
                  <c:v>37.200000000000003</c:v>
                </c:pt>
              </c:numCache>
            </c:numRef>
          </c:val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 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16.100000000000001</c:v>
                </c:pt>
                <c:pt idx="1">
                  <c:v>11.5</c:v>
                </c:pt>
                <c:pt idx="2">
                  <c:v>16.8</c:v>
                </c:pt>
                <c:pt idx="3">
                  <c:v>13.2</c:v>
                </c:pt>
                <c:pt idx="4">
                  <c:v>27.6</c:v>
                </c:pt>
              </c:numCache>
            </c:numRef>
          </c:val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Л50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13.4</c:v>
                </c:pt>
                <c:pt idx="1">
                  <c:v>14.9</c:v>
                </c:pt>
                <c:pt idx="2">
                  <c:v>16.8</c:v>
                </c:pt>
                <c:pt idx="3">
                  <c:v>10.8</c:v>
                </c:pt>
                <c:pt idx="4">
                  <c:v>14.4</c:v>
                </c:pt>
              </c:numCache>
            </c:numRef>
          </c:val>
        </c:ser>
        <c:marker val="1"/>
        <c:axId val="81368192"/>
        <c:axId val="81370112"/>
      </c:lineChart>
      <c:catAx>
        <c:axId val="8136819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81370112"/>
        <c:crosses val="autoZero"/>
        <c:auto val="1"/>
        <c:lblAlgn val="ctr"/>
        <c:lblOffset val="100"/>
      </c:catAx>
      <c:valAx>
        <c:axId val="8137011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81368192"/>
        <c:crosses val="autoZero"/>
        <c:crossBetween val="between"/>
      </c:valAx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Аркуш1!$B$1</c:f>
              <c:strCache>
                <c:ptCount val="1"/>
                <c:pt idx="0">
                  <c:v>П 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3.3</c:v>
                </c:pt>
                <c:pt idx="1">
                  <c:v>3.5</c:v>
                </c:pt>
                <c:pt idx="2">
                  <c:v>3.8</c:v>
                </c:pt>
                <c:pt idx="3">
                  <c:v>3.9</c:v>
                </c:pt>
                <c:pt idx="4">
                  <c:v>6.6</c:v>
                </c:pt>
              </c:numCache>
            </c:numRef>
          </c:val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Л20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3.5</c:v>
                </c:pt>
                <c:pt idx="1">
                  <c:v>1.7</c:v>
                </c:pt>
                <c:pt idx="2">
                  <c:v>4.3</c:v>
                </c:pt>
                <c:pt idx="3">
                  <c:v>3.3</c:v>
                </c:pt>
                <c:pt idx="4">
                  <c:v>6.1</c:v>
                </c:pt>
              </c:numCache>
            </c:numRef>
          </c:val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 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3.2</c:v>
                </c:pt>
                <c:pt idx="1">
                  <c:v>2.1</c:v>
                </c:pt>
                <c:pt idx="2">
                  <c:v>3.8</c:v>
                </c:pt>
                <c:pt idx="3">
                  <c:v>4</c:v>
                </c:pt>
                <c:pt idx="4">
                  <c:v>7.8</c:v>
                </c:pt>
              </c:numCache>
            </c:numRef>
          </c:val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Л50</c:v>
                </c:pt>
              </c:strCache>
            </c:strRef>
          </c:tx>
          <c:marker>
            <c:symbol val="none"/>
          </c:marker>
          <c:cat>
            <c:numRef>
              <c:f>Аркуш1!$A$2:$A$6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4.7</c:v>
                </c:pt>
                <c:pt idx="3">
                  <c:v>7.9</c:v>
                </c:pt>
                <c:pt idx="4">
                  <c:v>10.8</c:v>
                </c:pt>
              </c:numCache>
            </c:num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2.5</c:v>
                </c:pt>
                <c:pt idx="1">
                  <c:v>2.2999999999999998</c:v>
                </c:pt>
                <c:pt idx="2">
                  <c:v>3.6</c:v>
                </c:pt>
                <c:pt idx="3">
                  <c:v>3</c:v>
                </c:pt>
                <c:pt idx="4">
                  <c:v>4.0999999999999996</c:v>
                </c:pt>
              </c:numCache>
            </c:numRef>
          </c:val>
        </c:ser>
        <c:marker val="1"/>
        <c:axId val="82344192"/>
        <c:axId val="83430016"/>
      </c:lineChart>
      <c:catAx>
        <c:axId val="8234419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83430016"/>
        <c:crosses val="autoZero"/>
        <c:auto val="1"/>
        <c:lblAlgn val="ctr"/>
        <c:lblOffset val="100"/>
      </c:catAx>
      <c:valAx>
        <c:axId val="834300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82344192"/>
        <c:crosses val="autoZero"/>
        <c:crossBetween val="between"/>
      </c:valAx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119D-EBD0-4614-8F61-60B03653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9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19</cp:revision>
  <dcterms:created xsi:type="dcterms:W3CDTF">2011-08-01T14:48:00Z</dcterms:created>
  <dcterms:modified xsi:type="dcterms:W3CDTF">2011-08-19T09:40:00Z</dcterms:modified>
</cp:coreProperties>
</file>