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S6 Final</w:t>
      </w:r>
    </w:p>
    <w:p>
      <w:r>
        <w:t>Финальный результат EVIA R&amp;D</w:t>
      </w:r>
    </w:p>
    <w:p/>
    <w:p>
      <w:r>
        <w:t>status: OK</w:t>
      </w:r>
    </w:p>
    <w:p>
      <w:r>
        <w:t>run_id: 0aea3442e132</w:t>
      </w:r>
    </w:p>
    <w:p>
      <w:r>
        <w:t>project_name: EVIA R&amp;D</w:t>
      </w:r>
    </w:p>
    <w:p>
      <w:r>
        <w:t>company_name: EVIA Studio</w:t>
      </w:r>
    </w:p>
    <w:p>
      <w:r>
        <w:t>goals: 20 клиентов за 90 дней</w:t>
      </w:r>
    </w:p>
    <w:p>
      <w:r>
        <w:t>problem_statement: Нет системного маркетинга</w:t>
      </w:r>
    </w:p>
    <w:p>
      <w:r>
        <w:t>evia_decision: БЕРЁМ</w:t>
      </w:r>
    </w:p>
    <w:p>
      <w:r>
        <w:t>evia_cost_45_days: 150 000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