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S6 Final</w:t>
      </w:r>
    </w:p>
    <w:p>
      <w:r>
        <w:t>Финальный результат EVIA R&amp;D</w:t>
      </w:r>
    </w:p>
    <w:p/>
    <w:p>
      <w:r>
        <w:t>status: OK</w:t>
      </w:r>
    </w:p>
    <w:p>
      <w:r>
        <w:t>run_id: 8473c45c84ee</w:t>
      </w:r>
    </w:p>
    <w:p>
      <w:r>
        <w:t>project_name: EVIA Pilot</w:t>
      </w:r>
    </w:p>
    <w:p>
      <w:r>
        <w:t>company_name: ACME</w:t>
      </w:r>
    </w:p>
    <w:p>
      <w:r>
        <w:t>goals: Сделать MVP</w:t>
      </w:r>
    </w:p>
    <w:p>
      <w:r>
        <w:t>problem_statement: Нет автоматизации</w:t>
      </w:r>
    </w:p>
    <w:p>
      <w:r>
        <w:t>evia_decision: БЕРЁМ</w:t>
      </w:r>
    </w:p>
    <w:p>
      <w:r>
        <w:t>evia_cost_45_days: 150 000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