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S6 Final</w:t>
      </w:r>
    </w:p>
    <w:p>
      <w:r>
        <w:t>Финальный результат EVIA R&amp;D</w:t>
      </w:r>
    </w:p>
    <w:p/>
    <w:p>
      <w:r>
        <w:t>status: OK</w:t>
      </w:r>
    </w:p>
    <w:p>
      <w:r>
        <w:t>run_id: bd9bc94f152b</w:t>
      </w:r>
    </w:p>
    <w:p>
      <w:r>
        <w:t>project_name: Alpha AI</w:t>
      </w:r>
    </w:p>
    <w:p>
      <w:r>
        <w:t>company_name: Tech Growth</w:t>
      </w:r>
    </w:p>
    <w:p>
      <w:r>
        <w:t>goals: 100 клиентов за 60 дней</w:t>
      </w:r>
    </w:p>
    <w:p>
      <w:r>
        <w:t>problem_statement: Отсутствует ICP и отдел продаж</w:t>
      </w:r>
    </w:p>
    <w:p>
      <w:r>
        <w:t>evia_decision: БЕРЁМ</w:t>
      </w:r>
    </w:p>
    <w:p>
      <w:r>
        <w:t>evia_cost_45_days: 150 000 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