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883F65" w:rsidRDefault="00043CA4" w:rsidP="009154BB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158115</wp:posOffset>
            </wp:positionV>
            <wp:extent cx="2048510" cy="1360805"/>
            <wp:effectExtent l="19050" t="0" r="889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56C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AF2DC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>
        <w:rPr>
          <w:rFonts w:ascii="Arial" w:hAnsi="Arial" w:cs="Arial"/>
          <w:lang w:val="en-US"/>
        </w:rPr>
        <w:t xml:space="preserve">     </w:t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7208B" w:rsidRPr="00D630A9" w:rsidRDefault="009154BB" w:rsidP="0027208B">
      <w:pPr>
        <w:spacing w:line="312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>Маркировка</w:t>
      </w:r>
      <w:r w:rsidR="0027208B" w:rsidRPr="00D630A9">
        <w:rPr>
          <w:rFonts w:ascii="Arial" w:hAnsi="Arial" w:cs="Arial"/>
        </w:rPr>
        <w:t xml:space="preserve">     </w:t>
      </w:r>
      <w:r w:rsidR="0027208B" w:rsidRPr="00D630A9">
        <w:rPr>
          <w:rFonts w:ascii="Arial" w:hAnsi="Arial" w:cs="Arial"/>
          <w:u w:val="single"/>
        </w:rPr>
        <w:t xml:space="preserve">{{ </w:t>
      </w:r>
      <w:r w:rsidR="0027208B" w:rsidRPr="00DF24E5">
        <w:rPr>
          <w:rFonts w:ascii="Arial" w:hAnsi="Arial" w:cs="Arial"/>
          <w:u w:val="single"/>
          <w:lang w:val="en-US"/>
        </w:rPr>
        <w:t>marking</w:t>
      </w:r>
      <w:r w:rsidR="0027208B" w:rsidRPr="00D630A9">
        <w:rPr>
          <w:rFonts w:ascii="Arial" w:hAnsi="Arial" w:cs="Arial"/>
          <w:u w:val="single"/>
        </w:rPr>
        <w:t xml:space="preserve"> }}</w:t>
      </w:r>
    </w:p>
    <w:p w:rsidR="0026421F" w:rsidRPr="00960CF5" w:rsidRDefault="0026421F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960CF5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 номер</w:t>
      </w:r>
      <w:r w:rsidR="0027208B" w:rsidRPr="00D630A9">
        <w:rPr>
          <w:rFonts w:ascii="Arial" w:hAnsi="Arial" w:cs="Arial"/>
        </w:rPr>
        <w:t xml:space="preserve">  </w:t>
      </w:r>
      <w:r w:rsidR="0027208B" w:rsidRPr="00D630A9">
        <w:rPr>
          <w:rFonts w:ascii="Arial" w:hAnsi="Arial" w:cs="Arial"/>
          <w:u w:val="single"/>
        </w:rPr>
        <w:t xml:space="preserve">{{ </w:t>
      </w:r>
      <w:r w:rsidR="0027208B" w:rsidRPr="00DB02C2">
        <w:rPr>
          <w:rFonts w:ascii="Arial" w:hAnsi="Arial" w:cs="Arial"/>
          <w:u w:val="single"/>
          <w:lang w:val="en-US"/>
        </w:rPr>
        <w:t>num</w:t>
      </w:r>
      <w:r w:rsidR="0027208B">
        <w:rPr>
          <w:rFonts w:ascii="Arial" w:hAnsi="Arial" w:cs="Arial"/>
          <w:u w:val="single"/>
          <w:lang w:val="en-US"/>
        </w:rPr>
        <w:t>ber</w:t>
      </w:r>
      <w:r w:rsidR="0027208B" w:rsidRPr="00D630A9">
        <w:rPr>
          <w:rFonts w:ascii="Arial" w:hAnsi="Arial" w:cs="Arial"/>
          <w:u w:val="single"/>
        </w:rPr>
        <w:t xml:space="preserve"> }}</w:t>
      </w:r>
    </w:p>
    <w:p w:rsidR="0026421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ППодпись</w:t>
      </w:r>
      <w:r>
        <w:rPr>
          <w:rFonts w:ascii="Arial" w:hAnsi="Arial" w:cs="Arial"/>
          <w:sz w:val="22"/>
          <w:szCs w:val="22"/>
        </w:rPr>
        <w:tab/>
      </w:r>
      <w:r w:rsidRPr="0027208B">
        <w:rPr>
          <w:rFonts w:ascii="Arial" w:hAnsi="Arial" w:cs="Arial"/>
          <w:sz w:val="22"/>
          <w:szCs w:val="22"/>
          <w:u w:val="single"/>
        </w:rPr>
        <w:t>______________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27208B">
        <w:rPr>
          <w:rFonts w:ascii="Arial" w:hAnsi="Arial" w:cs="Arial"/>
          <w:sz w:val="22"/>
          <w:szCs w:val="22"/>
        </w:rPr>
        <w:t xml:space="preserve">    __</w:t>
      </w:r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27208B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27208B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BC56CA" w:rsidP="0026421F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130" r="19050" b="23495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16449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</w:t>
      </w:r>
      <w:r w:rsidR="00A36AFD">
        <w:rPr>
          <w:rFonts w:ascii="Arial" w:hAnsi="Arial" w:cs="Arial"/>
          <w:b/>
          <w:sz w:val="32"/>
          <w:szCs w:val="32"/>
        </w:rPr>
        <w:t>винтовые</w:t>
      </w:r>
      <w:r w:rsidRPr="00171B6E">
        <w:rPr>
          <w:rFonts w:ascii="Arial" w:hAnsi="Arial" w:cs="Arial"/>
          <w:b/>
          <w:sz w:val="32"/>
          <w:szCs w:val="32"/>
        </w:rPr>
        <w:t xml:space="preserve"> 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A36AFD">
        <w:rPr>
          <w:rFonts w:ascii="Arial" w:hAnsi="Arial" w:cs="Arial"/>
          <w:b/>
          <w:sz w:val="32"/>
          <w:szCs w:val="32"/>
        </w:rPr>
        <w:t>ЗВ</w:t>
      </w:r>
      <w:r w:rsidR="00F1410E">
        <w:rPr>
          <w:rFonts w:ascii="Arial" w:hAnsi="Arial" w:cs="Arial"/>
          <w:b/>
          <w:sz w:val="32"/>
          <w:szCs w:val="32"/>
        </w:rPr>
        <w:t>Э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BC56CA" w:rsidP="005B164B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4765" r="19050" b="22860"/>
                <wp:wrapNone/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EFF4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iT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BtphpEgP&#10;Em2E4miShdYMxhUQUamtDcXRk3oxG02/OqR01RG155Hi69lAXsxIHlLCxhm4YDd81AxiyMHr2KdT&#10;a/sACR1ApyjH+S4HP3lE4fBpkU9nKahGb76EFLdEY53/wHWPglFiCaQjMDlunAfqEHoLCfco3Qgp&#10;o9pSoaHE03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JOa4k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960CF5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960CF5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A36AFD">
        <w:rPr>
          <w:rFonts w:ascii="Arial" w:hAnsi="Arial" w:cs="Arial"/>
          <w:bCs/>
        </w:rPr>
        <w:t>ЗВ</w:t>
      </w:r>
      <w:r w:rsidR="00F1410E">
        <w:rPr>
          <w:rFonts w:ascii="Arial" w:hAnsi="Arial" w:cs="Arial"/>
          <w:bCs/>
        </w:rPr>
        <w:t>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043CA4" w:rsidRDefault="00043CA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</w:p>
    <w:p w:rsidR="00043CA4" w:rsidRDefault="00960CF5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6384049" cy="46125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ля паспорта ЗВК-30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4" t="3770" r="3176" b="5241"/>
                    <a:stretch/>
                  </pic:blipFill>
                  <pic:spPr bwMode="auto">
                    <a:xfrm>
                      <a:off x="0" y="0"/>
                      <a:ext cx="6419629" cy="463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3EF" w:rsidRPr="007932E2" w:rsidRDefault="00CD33EF" w:rsidP="005B164B">
      <w:pPr>
        <w:tabs>
          <w:tab w:val="left" w:pos="1080"/>
        </w:tabs>
        <w:spacing w:line="312" w:lineRule="auto"/>
        <w:ind w:left="600"/>
        <w:rPr>
          <w:rFonts w:ascii="Arial" w:hAnsi="Arial" w:cs="Arial"/>
          <w:b/>
          <w:sz w:val="18"/>
          <w:szCs w:val="18"/>
        </w:rPr>
      </w:pPr>
    </w:p>
    <w:p w:rsidR="006D0A34" w:rsidRDefault="006D0A34" w:rsidP="00A72D4D">
      <w:pPr>
        <w:ind w:firstLine="357"/>
        <w:jc w:val="center"/>
        <w:rPr>
          <w:rFonts w:ascii="Arial" w:hAnsi="Arial" w:cs="Arial"/>
        </w:rPr>
      </w:pPr>
    </w:p>
    <w:p w:rsidR="00043CA4" w:rsidRDefault="00043CA4" w:rsidP="00A72D4D">
      <w:pPr>
        <w:ind w:firstLine="357"/>
        <w:jc w:val="center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 xml:space="preserve">Задвижка </w:t>
      </w:r>
      <w:r w:rsidR="00A36AFD">
        <w:rPr>
          <w:rFonts w:ascii="Arial" w:hAnsi="Arial" w:cs="Arial"/>
        </w:rPr>
        <w:t>винтовая</w:t>
      </w:r>
      <w:r w:rsidR="00496041">
        <w:rPr>
          <w:rFonts w:ascii="Arial" w:hAnsi="Arial" w:cs="Arial"/>
        </w:rPr>
        <w:t xml:space="preserve"> в сборе с электро</w:t>
      </w:r>
      <w:r w:rsidR="00A36AFD">
        <w:rPr>
          <w:rFonts w:ascii="Arial" w:hAnsi="Arial" w:cs="Arial"/>
        </w:rPr>
        <w:t xml:space="preserve">- и ручным </w:t>
      </w:r>
      <w:r w:rsidR="00496041">
        <w:rPr>
          <w:rFonts w:ascii="Arial" w:hAnsi="Arial" w:cs="Arial"/>
        </w:rPr>
        <w:t>приводом – 1шт.</w:t>
      </w:r>
    </w:p>
    <w:p w:rsidR="00496041" w:rsidRDefault="00A36AFD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ЗВ</w:t>
      </w:r>
      <w:r w:rsidR="00F1410E">
        <w:rPr>
          <w:rFonts w:ascii="Arial" w:hAnsi="Arial" w:cs="Arial"/>
        </w:rPr>
        <w:t>Э</w:t>
      </w:r>
      <w:r w:rsidR="00496041">
        <w:rPr>
          <w:rFonts w:ascii="Arial" w:hAnsi="Arial" w:cs="Arial"/>
        </w:rPr>
        <w:t xml:space="preserve">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A36AFD" w:rsidRDefault="00A36AFD" w:rsidP="00A36AFD">
      <w:pPr>
        <w:tabs>
          <w:tab w:val="left" w:pos="1080"/>
        </w:tabs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>
        <w:rPr>
          <w:rFonts w:ascii="Arial" w:hAnsi="Arial" w:cs="Arial"/>
        </w:rPr>
        <w:t>, 2-х шиберов, электро-</w:t>
      </w:r>
      <w:r w:rsidRPr="00E52073">
        <w:rPr>
          <w:rFonts w:ascii="Arial" w:hAnsi="Arial" w:cs="Arial"/>
        </w:rPr>
        <w:t xml:space="preserve"> и </w:t>
      </w:r>
      <w:r>
        <w:rPr>
          <w:rFonts w:ascii="Arial" w:hAnsi="Arial" w:cs="Arial"/>
        </w:rPr>
        <w:t>ручного привода 2. Винты</w:t>
      </w:r>
      <w:r w:rsidRPr="00E520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>вращается в подшипниковых узлах</w:t>
      </w:r>
      <w:r>
        <w:rPr>
          <w:rFonts w:ascii="Arial" w:hAnsi="Arial" w:cs="Arial"/>
        </w:rPr>
        <w:t>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>стенках корпуса. Винтовая гайка, двигаясь по валу,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>.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>По требованию заказчика выключатели могут быть заменены на емкостные индуктивные датчики balluf (Германия), ВБИ (ЗАО Сенсор).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>. Монтаж электрооборудования производится в соответствии с правилами устройства электроустановок на основании электросхемы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электросхему </w:t>
      </w:r>
      <w:r w:rsidR="00553487" w:rsidRPr="00553487">
        <w:rPr>
          <w:rFonts w:ascii="Arial" w:hAnsi="Arial" w:cs="Arial"/>
        </w:rPr>
        <w:t>объекта.</w:t>
      </w:r>
    </w:p>
    <w:p w:rsidR="00CD07CF" w:rsidRDefault="00043CA4" w:rsidP="00003436">
      <w:pPr>
        <w:spacing w:line="288" w:lineRule="auto"/>
        <w:ind w:firstLine="357"/>
        <w:jc w:val="both"/>
      </w:pPr>
      <w:r>
        <w:rPr>
          <w:noProof/>
        </w:rPr>
        <w:drawing>
          <wp:inline distT="0" distB="0" distL="0" distR="0">
            <wp:extent cx="6539865" cy="3584575"/>
            <wp:effectExtent l="1905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>1 – электродвигатель, 2 – выключатель, 3 – 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 ящик</w:t>
      </w:r>
      <w:r w:rsidR="00CD07CF" w:rsidRPr="009F1BA2">
        <w:rPr>
          <w:rFonts w:ascii="Arial" w:hAnsi="Arial" w:cs="Arial"/>
        </w:rPr>
        <w:t xml:space="preserve"> 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960CF5" w:rsidRDefault="0096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P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A0284" w:rsidRPr="00AF6A8C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8F6826" w:rsidRDefault="008F68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 xml:space="preserve">Задвижка </w:t>
      </w:r>
      <w:r w:rsidR="00A36AFD">
        <w:rPr>
          <w:rFonts w:ascii="Arial" w:hAnsi="Arial" w:cs="Arial"/>
        </w:rPr>
        <w:t>винтова</w:t>
      </w:r>
      <w:r w:rsidR="004C2D7E">
        <w:rPr>
          <w:rFonts w:ascii="Arial" w:hAnsi="Arial" w:cs="Arial"/>
        </w:rPr>
        <w:t>я</w:t>
      </w:r>
      <w:r w:rsidR="0027208B">
        <w:rPr>
          <w:rFonts w:ascii="Arial" w:hAnsi="Arial" w:cs="Arial"/>
        </w:rPr>
        <w:t xml:space="preserve"> </w:t>
      </w:r>
      <w:r w:rsidR="0027208B" w:rsidRPr="00771BB8">
        <w:rPr>
          <w:rFonts w:ascii="Arial" w:hAnsi="Arial" w:cs="Arial"/>
          <w:u w:val="single"/>
        </w:rPr>
        <w:t xml:space="preserve">{{ </w:t>
      </w:r>
      <w:r w:rsidR="0027208B" w:rsidRPr="00DF24E5">
        <w:rPr>
          <w:rFonts w:ascii="Arial" w:hAnsi="Arial" w:cs="Arial"/>
          <w:u w:val="single"/>
          <w:lang w:val="en-US"/>
        </w:rPr>
        <w:t>marking</w:t>
      </w:r>
      <w:r w:rsidR="0027208B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27208B">
        <w:rPr>
          <w:rFonts w:ascii="Arial" w:hAnsi="Arial" w:cs="Arial"/>
        </w:rPr>
        <w:t xml:space="preserve"> </w:t>
      </w:r>
      <w:r w:rsidR="0027208B" w:rsidRPr="00771BB8">
        <w:rPr>
          <w:rFonts w:ascii="Arial" w:hAnsi="Arial" w:cs="Arial"/>
          <w:u w:val="single"/>
        </w:rPr>
        <w:t xml:space="preserve">{{ </w:t>
      </w:r>
      <w:r w:rsidR="0027208B" w:rsidRPr="00DB02C2">
        <w:rPr>
          <w:rFonts w:ascii="Arial" w:hAnsi="Arial" w:cs="Arial"/>
          <w:u w:val="single"/>
          <w:lang w:val="en-US"/>
        </w:rPr>
        <w:t>num</w:t>
      </w:r>
      <w:r w:rsidR="0027208B">
        <w:rPr>
          <w:rFonts w:ascii="Arial" w:hAnsi="Arial" w:cs="Arial"/>
          <w:u w:val="single"/>
          <w:lang w:val="en-US"/>
        </w:rPr>
        <w:t>ber</w:t>
      </w:r>
      <w:r w:rsidR="0027208B" w:rsidRPr="00771BB8">
        <w:rPr>
          <w:rFonts w:ascii="Arial" w:hAnsi="Arial" w:cs="Arial"/>
          <w:u w:val="single"/>
        </w:rPr>
        <w:t xml:space="preserve"> }}</w:t>
      </w:r>
      <w:r w:rsidR="0027208B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27208B">
        <w:rPr>
          <w:rFonts w:ascii="Arial" w:hAnsi="Arial" w:cs="Arial"/>
        </w:rPr>
        <w:t xml:space="preserve"> </w:t>
      </w:r>
      <w:r w:rsidR="0027208B">
        <w:rPr>
          <w:rFonts w:ascii="Arial" w:hAnsi="Arial" w:cs="Arial"/>
          <w:sz w:val="22"/>
          <w:szCs w:val="22"/>
        </w:rPr>
        <w:t>__</w:t>
      </w:r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27208B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27208B">
        <w:rPr>
          <w:rFonts w:ascii="Arial" w:hAnsi="Arial" w:cs="Arial"/>
          <w:sz w:val="22"/>
          <w:szCs w:val="22"/>
        </w:rPr>
        <w:t>__</w:t>
      </w:r>
    </w:p>
    <w:p w:rsidR="004C2D7E" w:rsidRDefault="004C2D7E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27208B">
        <w:rPr>
          <w:rFonts w:ascii="Arial" w:hAnsi="Arial" w:cs="Arial"/>
        </w:rPr>
        <w:t>__</w:t>
      </w:r>
      <w:r w:rsidR="0027208B" w:rsidRPr="00771BB8">
        <w:rPr>
          <w:rFonts w:ascii="Arial" w:hAnsi="Arial" w:cs="Arial"/>
          <w:u w:val="single"/>
        </w:rPr>
        <w:t>{{ surname }}</w:t>
      </w:r>
      <w:r w:rsidR="0027208B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8F6826" w:rsidRDefault="008F6826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D03C52" w:rsidRPr="008168F6" w:rsidRDefault="009B6124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"АгроПромРесурс"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>656056, г</w:t>
        </w:r>
      </w:smartTag>
      <w:r w:rsidR="00C32EF3" w:rsidRPr="00C32EF3">
        <w:rPr>
          <w:rFonts w:ascii="Arial" w:hAnsi="Arial" w:cs="Arial"/>
        </w:rPr>
        <w:t>.Барнаул,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960CF5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960CF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960CF5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960CF5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960CF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960CF5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6B6615" w:rsidRDefault="0040559D" w:rsidP="008F682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r w:rsidR="00707ED5" w:rsidRPr="00A035DD">
        <w:rPr>
          <w:rFonts w:ascii="Arial" w:hAnsi="Arial" w:cs="Arial"/>
          <w:lang w:val="en-US"/>
        </w:rPr>
        <w:t>altay</w:t>
      </w:r>
      <w:r w:rsidR="00707ED5" w:rsidRPr="009F75B5">
        <w:rPr>
          <w:rFonts w:ascii="Arial" w:hAnsi="Arial" w:cs="Arial"/>
        </w:rPr>
        <w:t>-</w:t>
      </w:r>
      <w:r w:rsidR="00707ED5" w:rsidRPr="00A035DD">
        <w:rPr>
          <w:rFonts w:ascii="Arial" w:hAnsi="Arial" w:cs="Arial"/>
          <w:lang w:val="en-US"/>
        </w:rPr>
        <w:t>apr</w:t>
      </w:r>
      <w:r w:rsidR="00707ED5" w:rsidRPr="009F75B5">
        <w:rPr>
          <w:rFonts w:ascii="Arial" w:hAnsi="Arial" w:cs="Arial"/>
        </w:rPr>
        <w:t>.</w:t>
      </w:r>
      <w:r w:rsidR="00707ED5" w:rsidRPr="00A035DD">
        <w:rPr>
          <w:rFonts w:ascii="Arial" w:hAnsi="Arial" w:cs="Arial"/>
          <w:lang w:val="en-US"/>
        </w:rPr>
        <w:t>ru</w:t>
      </w:r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157" w:rsidRDefault="00E96157">
      <w:r>
        <w:separator/>
      </w:r>
    </w:p>
  </w:endnote>
  <w:endnote w:type="continuationSeparator" w:id="0">
    <w:p w:rsidR="00E96157" w:rsidRDefault="00E9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0279A">
      <w:rPr>
        <w:rStyle w:val="a4"/>
        <w:noProof/>
      </w:rPr>
      <w:t>4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0279A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157" w:rsidRDefault="00E96157">
      <w:r>
        <w:separator/>
      </w:r>
    </w:p>
  </w:footnote>
  <w:footnote w:type="continuationSeparator" w:id="0">
    <w:p w:rsidR="00E96157" w:rsidRDefault="00E9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43CA4"/>
    <w:rsid w:val="0005521E"/>
    <w:rsid w:val="00090B31"/>
    <w:rsid w:val="0009726E"/>
    <w:rsid w:val="00097CE8"/>
    <w:rsid w:val="000B1AB1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62B5"/>
    <w:rsid w:val="0026421F"/>
    <w:rsid w:val="0027208B"/>
    <w:rsid w:val="0028171C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26FBF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19E5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6E9C"/>
    <w:rsid w:val="007453F8"/>
    <w:rsid w:val="00753381"/>
    <w:rsid w:val="00755D1E"/>
    <w:rsid w:val="007803DE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8F6826"/>
    <w:rsid w:val="00903270"/>
    <w:rsid w:val="00912356"/>
    <w:rsid w:val="009154BB"/>
    <w:rsid w:val="00925641"/>
    <w:rsid w:val="00934194"/>
    <w:rsid w:val="00941B31"/>
    <w:rsid w:val="00942050"/>
    <w:rsid w:val="00960CF5"/>
    <w:rsid w:val="00965B60"/>
    <w:rsid w:val="00992979"/>
    <w:rsid w:val="00995383"/>
    <w:rsid w:val="009B0768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36AFD"/>
    <w:rsid w:val="00A40C0D"/>
    <w:rsid w:val="00A41D79"/>
    <w:rsid w:val="00A469C8"/>
    <w:rsid w:val="00A54C33"/>
    <w:rsid w:val="00A55E59"/>
    <w:rsid w:val="00A63901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74495"/>
    <w:rsid w:val="00B8094D"/>
    <w:rsid w:val="00B82AC0"/>
    <w:rsid w:val="00B84DFF"/>
    <w:rsid w:val="00B86245"/>
    <w:rsid w:val="00B968DC"/>
    <w:rsid w:val="00BA4A82"/>
    <w:rsid w:val="00BB0BD7"/>
    <w:rsid w:val="00BC56CA"/>
    <w:rsid w:val="00BC75D8"/>
    <w:rsid w:val="00BD2ADA"/>
    <w:rsid w:val="00BE4BC8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C548B"/>
    <w:rsid w:val="00CD07CF"/>
    <w:rsid w:val="00CD33EF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30A9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66F9D"/>
    <w:rsid w:val="00E712C8"/>
    <w:rsid w:val="00E80371"/>
    <w:rsid w:val="00E90024"/>
    <w:rsid w:val="00E96157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F3DD2"/>
    <w:rsid w:val="00EF45C7"/>
    <w:rsid w:val="00EF7C72"/>
    <w:rsid w:val="00F003FC"/>
    <w:rsid w:val="00F0198A"/>
    <w:rsid w:val="00F0279A"/>
    <w:rsid w:val="00F02F7E"/>
    <w:rsid w:val="00F0373E"/>
    <w:rsid w:val="00F05DAE"/>
    <w:rsid w:val="00F126CB"/>
    <w:rsid w:val="00F1410E"/>
    <w:rsid w:val="00F151F2"/>
    <w:rsid w:val="00F314F1"/>
    <w:rsid w:val="00F512D7"/>
    <w:rsid w:val="00F54D59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B1BF2526-58F1-4FB6-A47B-0AD9F766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creator>1</dc:creator>
  <cp:lastModifiedBy>АПК</cp:lastModifiedBy>
  <cp:revision>4</cp:revision>
  <cp:lastPrinted>2018-12-05T03:36:00Z</cp:lastPrinted>
  <dcterms:created xsi:type="dcterms:W3CDTF">2021-03-29T06:48:00Z</dcterms:created>
  <dcterms:modified xsi:type="dcterms:W3CDTF">2021-03-29T07:08:00Z</dcterms:modified>
</cp:coreProperties>
</file>