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Calibri" w:hAnsi="Calibri"/>
          <w:b/>
          <w:color w:val="1F497D"/>
          <w:sz w:val="36"/>
        </w:rPr>
        <w:t>GOVERNANÇA DE RISCO DE SEGURANÇA DE APLICAÇÕES E GESTÃO DE VULNERABILIDADES: UMA ANÁLISE SISTEMÁTICA DO ESTADO DA ARTE EM ASPM (2024–2026)</w:t>
      </w:r>
    </w:p>
    <w:p>
      <w:pPr>
        <w:spacing w:after="120"/>
      </w:pPr>
      <w:r>
        <w:rPr>
          <w:b/>
        </w:rPr>
        <w:t>Resumo</w:t>
      </w:r>
    </w:p>
    <w:p>
      <w:pPr>
        <w:spacing w:after="120"/>
      </w:pPr>
      <w:r>
        <w:t xml:space="preserve">O crescimento acelerado de arquiteturas orientadas a microsserviços, a adoção massiva de contêineres e a expansão do paradigma </w:t>
      </w:r>
      <w:r>
        <w:rPr>
          <w:i/>
        </w:rPr>
        <w:t>Cloud-Native</w:t>
      </w:r>
      <w:r>
        <w:t xml:space="preserve"> resultaram na proliferação de ferramentas heterogêneas de segurança (</w:t>
      </w:r>
      <w:r>
        <w:rPr>
          <w:i/>
        </w:rPr>
        <w:t>tool sprawl</w:t>
      </w:r>
      <w:r>
        <w:t>), gerando fragmentação contextual, saturação de alertas (</w:t>
      </w:r>
      <w:r>
        <w:rPr>
          <w:i/>
        </w:rPr>
        <w:t>alert fatigue</w:t>
      </w:r>
      <w:r>
        <w:t xml:space="preserve">) e ineficiência na remediação de falhas. Este estudo apresenta uma análise sistemática e formal da tecnologia de </w:t>
      </w:r>
      <w:r>
        <w:rPr>
          <w:i/>
        </w:rPr>
        <w:t>Application Security Posture Management</w:t>
      </w:r>
      <w:r>
        <w:t xml:space="preserve"> (ASPM) e de painéis de governança de risco de vulnerabilidades em ambientes corporativos. Analisam-se a evolução conceitual da disciplina, as projeções e estimativas de mercado publicadas por institutos de pesquisa (Gartner, Forrester, Frost &amp; Sullivan), a aderência aos frameworks normativos internacionais (NIST SP 800-53 Rev. 5, ISO/IEC 27001:2022, ISO/IEC 27005:2022, OWASP SAMM v2), a modelagem matemática multivariada de priorização de vulnerabilidades (CVSS v4.0, EPSS v3 e CISA KEV), além da avaliação das principais plataformas do mercado.</w:t>
      </w:r>
    </w:p>
    <w:p>
      <w:pPr>
        <w:spacing w:after="120"/>
      </w:pPr>
      <w:r>
        <w:rPr>
          <w:b/>
        </w:rPr>
        <w:t>Palavras-chave:</w:t>
      </w:r>
      <w:r>
        <w:t xml:space="preserve"> Governança de Risco; Application Security Posture Management; Gestão de Vulnerabilidades; DevSecOps; Security Posture Management.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1. Introdução</w:t>
      </w:r>
    </w:p>
    <w:p>
      <w:pPr>
        <w:spacing w:after="120"/>
      </w:pPr>
      <w:r>
        <w:t>A transição da engenharia de software tradicional para ecossistemas de integração e implantação contínuas (CI/CD) alterou fundamentalmente o modelo de ameaças enfrentado pelas corporações. O volume de código produzido, associado à reutilização ostensiva de bibliotecas de código aberto e ao uso de Infraestrutura como Código (IaC), expandiu a superfície de ataque para além dos perímetros de rede tradicionais.</w:t>
      </w:r>
    </w:p>
    <w:p>
      <w:pPr>
        <w:spacing w:after="120"/>
      </w:pPr>
      <w:r>
        <w:t>Historicamente, o controle da segurança da informação em nível de aplicação estruturou-se na sobreposição de soluções especializadas e isoladas:</w:t>
      </w:r>
    </w:p>
    <w:p>
      <w:pPr>
        <w:pStyle w:val="ListBullet"/>
        <w:spacing w:after="60"/>
      </w:pPr>
      <w:r>
        <w:rPr>
          <w:i/>
        </w:rPr>
        <w:t>Static Application Security Testing</w:t>
      </w:r>
      <w:r>
        <w:t xml:space="preserve"> (SAST);</w:t>
      </w:r>
    </w:p>
    <w:p>
      <w:pPr>
        <w:pStyle w:val="ListBullet"/>
        <w:spacing w:after="60"/>
      </w:pPr>
      <w:r>
        <w:rPr>
          <w:i/>
        </w:rPr>
        <w:t>Dynamic Application Security Testing</w:t>
      </w:r>
      <w:r>
        <w:t xml:space="preserve"> (DAST);</w:t>
      </w:r>
    </w:p>
    <w:p>
      <w:pPr>
        <w:pStyle w:val="ListBullet"/>
        <w:spacing w:after="60"/>
      </w:pPr>
      <w:r>
        <w:rPr>
          <w:i/>
        </w:rPr>
        <w:t>Software Composition Analysis</w:t>
      </w:r>
      <w:r>
        <w:t xml:space="preserve"> (SCA);</w:t>
      </w:r>
    </w:p>
    <w:p>
      <w:pPr>
        <w:pStyle w:val="ListBullet"/>
        <w:spacing w:after="60"/>
      </w:pPr>
      <w:r>
        <w:rPr>
          <w:i/>
        </w:rPr>
        <w:t>Infrastructure as Code Scanning</w:t>
      </w:r>
      <w:r>
        <w:t xml:space="preserve"> (IaC Security);</w:t>
      </w:r>
    </w:p>
    <w:p>
      <w:pPr>
        <w:pStyle w:val="ListBullet"/>
        <w:spacing w:after="60"/>
      </w:pPr>
      <w:r>
        <w:rPr>
          <w:i/>
        </w:rPr>
        <w:t>Secret Detection</w:t>
      </w:r>
      <w:r>
        <w:t>;</w:t>
      </w:r>
    </w:p>
    <w:p>
      <w:pPr>
        <w:pStyle w:val="ListBullet"/>
        <w:spacing w:after="60"/>
      </w:pPr>
      <w:r>
        <w:rPr>
          <w:i/>
        </w:rPr>
        <w:t>Container Registry Scanning</w:t>
      </w:r>
      <w:r>
        <w:t>.</w:t>
      </w:r>
    </w:p>
    <w:p>
      <w:pPr>
        <w:spacing w:after="120"/>
      </w:pPr>
      <w:r>
        <w:t>A descentralização das saídas geradas por essas ferramentas resultou em gargalos operacionais e estratégicos. Equipes de segurança da informação e de desenvolvimento passam a gerenciar milhares de vulnerabilidades duplicadas, sem uma taxonomia única ou um modelo quantitativo que relacione a severidade técnica do achado com a criticidade do ativo de negócio.</w:t>
      </w:r>
    </w:p>
    <w:p>
      <w:pPr>
        <w:spacing w:after="120"/>
      </w:pPr>
      <w:r>
        <w:t xml:space="preserve">Nesse cenário, surge o </w:t>
      </w:r>
      <w:r>
        <w:rPr>
          <w:i/>
        </w:rPr>
        <w:t>Application Security Posture Management</w:t>
      </w:r>
      <w:r>
        <w:t xml:space="preserve"> (ASPM) como uma camada de orquestração, inteligência e governança. O ASPM tem como objetivo central agregar, correlacionar e contextualizar sinais de segurança ao longo de todo o Ciclo de Vida de Desenvolvimento de Software (</w:t>
      </w:r>
      <w:r>
        <w:rPr>
          <w:i/>
        </w:rPr>
        <w:t>Software Development Lifecycle</w:t>
      </w:r>
      <w:r>
        <w:t xml:space="preserve"> — SDLC), fornecendo visibilidade holística para o nível executivo e viabilizando a remediação priorizada no nível operacional.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2. Metodologia da Pesquisa</w:t>
      </w:r>
    </w:p>
    <w:p>
      <w:pPr>
        <w:spacing w:after="120"/>
      </w:pPr>
      <w:r>
        <w:t>Esta pesquisa fundamenta-se em uma revisão bibliográfica e documental qualitativa e quantitativa, cobrindo publicações emitidas entre os anos de 2024 e 2026. A coleta de dados englobou quatro pilares documentais principais:</w:t>
      </w:r>
    </w:p>
    <w:p>
      <w:pPr>
        <w:pStyle w:val="ListNumber"/>
        <w:spacing w:after="60"/>
      </w:pPr>
      <w:r>
        <w:rPr>
          <w:b/>
        </w:rPr>
        <w:t>Relatórios e Análises de Mercado:</w:t>
      </w:r>
      <w:r>
        <w:t xml:space="preserve"> Publicações analíticas de empresas de consultoria estratégica, incluindo Gartner, Forrester Research, Frost &amp; Sullivan e MarketsandMarkets.</w:t>
      </w:r>
    </w:p>
    <w:p>
      <w:pPr>
        <w:pStyle w:val="ListNumber"/>
        <w:spacing w:after="60"/>
      </w:pPr>
      <w:r>
        <w:rPr>
          <w:b/>
        </w:rPr>
        <w:t>Normas Técnicas e Frameworks Internacionais:</w:t>
      </w:r>
      <w:r>
        <w:t xml:space="preserve"> Documentações emitidas por órgãos de padronização, como o </w:t>
      </w:r>
      <w:r>
        <w:rPr>
          <w:i/>
        </w:rPr>
        <w:t>National Institute of Standards and Technology</w:t>
      </w:r>
      <w:r>
        <w:t xml:space="preserve"> (NIST), a </w:t>
      </w:r>
      <w:r>
        <w:rPr>
          <w:i/>
        </w:rPr>
        <w:t>International Organization for Standardization</w:t>
      </w:r>
      <w:r>
        <w:t xml:space="preserve"> (ISO), o </w:t>
      </w:r>
      <w:r>
        <w:rPr>
          <w:i/>
        </w:rPr>
        <w:t>Forum of Incident Response and Security Teams</w:t>
      </w:r>
      <w:r>
        <w:t xml:space="preserve"> (FIRST), a </w:t>
      </w:r>
      <w:r>
        <w:rPr>
          <w:i/>
        </w:rPr>
        <w:t>Cybersecurity and Infrastructure Security Agency</w:t>
      </w:r>
      <w:r>
        <w:t xml:space="preserve"> (CISA) e o </w:t>
      </w:r>
      <w:r>
        <w:rPr>
          <w:i/>
        </w:rPr>
        <w:t>Open Web Application Security Project</w:t>
      </w:r>
      <w:r>
        <w:t xml:space="preserve"> (OWASP).</w:t>
      </w:r>
    </w:p>
    <w:p>
      <w:pPr>
        <w:pStyle w:val="ListNumber"/>
        <w:spacing w:after="60"/>
      </w:pPr>
      <w:r>
        <w:rPr>
          <w:b/>
        </w:rPr>
        <w:t>Documentação Técnica das Plataformas Líderes:</w:t>
      </w:r>
      <w:r>
        <w:t xml:space="preserve"> Manuais, whitepapers e especificações arquiteturais de fabricantes do setor, como Palo Alto Networks, Microsoft, CrowdStrike, Wiz, Orca Security, ArmorCode, Snyk, Checkmarx, GitHub e GitLab.</w:t>
      </w:r>
    </w:p>
    <w:p>
      <w:pPr>
        <w:pStyle w:val="ListNumber"/>
        <w:spacing w:after="60"/>
      </w:pPr>
      <w:r>
        <w:rPr>
          <w:b/>
        </w:rPr>
        <w:t>Legislação e Regulação Internacional:</w:t>
      </w:r>
      <w:r>
        <w:t xml:space="preserve"> Diretivas e regulamentos vigentes ou em fase de aplicação, incluindo o </w:t>
      </w:r>
      <w:r>
        <w:rPr>
          <w:i/>
        </w:rPr>
        <w:t>Cyber Resilience Act</w:t>
      </w:r>
      <w:r>
        <w:t xml:space="preserve"> (CRA), a </w:t>
      </w:r>
      <w:r>
        <w:rPr>
          <w:i/>
        </w:rPr>
        <w:t>Digital Operational Resilience Act</w:t>
      </w:r>
      <w:r>
        <w:t xml:space="preserve"> (DORA), a </w:t>
      </w:r>
      <w:r>
        <w:rPr>
          <w:i/>
        </w:rPr>
        <w:t>Network and Information Security Directive 2</w:t>
      </w:r>
      <w:r>
        <w:t xml:space="preserve"> (NIS2) e as diretrizes de divulgação da </w:t>
      </w:r>
      <w:r>
        <w:rPr>
          <w:i/>
        </w:rPr>
        <w:t>Securities and Exchange Commission</w:t>
      </w:r>
      <w:r>
        <w:t xml:space="preserve"> (SEC).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3. Fundamentação Teórica e Conceitualização do ASPM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3.1 Definição Formal</w:t>
      </w:r>
    </w:p>
    <w:p>
      <w:pPr>
        <w:spacing w:after="120"/>
      </w:pPr>
      <w:r>
        <w:t xml:space="preserve">O </w:t>
      </w:r>
      <w:r>
        <w:rPr>
          <w:i/>
        </w:rPr>
        <w:t>Application Security Posture Management</w:t>
      </w:r>
      <w:r>
        <w:t xml:space="preserve"> (ASPM) é definido como o conjunto de processos, ferramentas e arquiteturas analíticas voltadas ao gerenciamento contínuo de riscos de segurança em aplicações. O ASPM realiza a ingestão automática de dados brutos provenientes de múltiplos escâneres de segurança, normalizando os registros em um modelo ontológico comum, deduplicando achados correlacionados e correlacionando esses dados com o contexto de execução e a criticidade de negócio dos ativos.</w:t>
      </w:r>
    </w:p>
    <w:p>
      <w:pPr>
        <w:spacing w:after="120"/>
      </w:pPr>
      <w:r>
        <w:t>O Gartner (2024) conceitua o ASPM como uma solução transformacional responsável por unificar a visibilidade da cadeia de suprimentos de software, permitindo que a liderança de segurança tome decisões baseadas na exposição real ao risco em vez de depender de métricas puramente quantitativas de vulnerabilidade.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3.2 Evolução Histórica da Gestão de Vulnerabilidades</w:t>
      </w:r>
    </w:p>
    <w:p>
      <w:pPr>
        <w:spacing w:after="120"/>
      </w:pPr>
      <w:r>
        <w:t>A evolução da governança de vulnerabilidades pode ser dividida em cinco fases distintas:</w:t>
      </w:r>
    </w:p>
    <w:p>
      <w:pPr>
        <w:pStyle w:val="ListBullet"/>
        <w:spacing w:after="60"/>
      </w:pPr>
      <w:r>
        <w:rPr>
          <w:b/>
        </w:rPr>
        <w:t>Fase 1 (Segurança Perimetral e Pontual - 2010 a 2017):</w:t>
      </w:r>
      <w:r>
        <w:t xml:space="preserve"> Foco em varreduras estáticas e dinâmicas pontuais, realizadas em momentos que antecediam o lançamento das aplicações em ambiente de produção.</w:t>
      </w:r>
    </w:p>
    <w:p>
      <w:pPr>
        <w:pStyle w:val="ListBullet"/>
        <w:spacing w:after="60"/>
      </w:pPr>
      <w:r>
        <w:rPr>
          <w:b/>
        </w:rPr>
        <w:t>Fase 2 (Integração DevSecOps e Shift Left - 2018 a 2021):</w:t>
      </w:r>
      <w:r>
        <w:t xml:space="preserve"> Automação da execução de SAST e SCA no interior das </w:t>
      </w:r>
      <w:r>
        <w:rPr>
          <w:i/>
        </w:rPr>
        <w:t>pipelines</w:t>
      </w:r>
      <w:r>
        <w:t xml:space="preserve"> de CI/CD. Surgimento do problema da proliferação de alertas e atrito entre equipes de desenvolvimento e de segurança.</w:t>
      </w:r>
    </w:p>
    <w:p>
      <w:pPr>
        <w:pStyle w:val="ListBullet"/>
        <w:spacing w:after="60"/>
      </w:pPr>
      <w:r>
        <w:rPr>
          <w:b/>
        </w:rPr>
        <w:t>Fase 3 (Conceituação do ASPM - 2022 a 2023):</w:t>
      </w:r>
      <w:r>
        <w:t xml:space="preserve"> Reconhecimento formal da categoria por institutos de analistas. Primeiras ferramentas puras (</w:t>
      </w:r>
      <w:r>
        <w:rPr>
          <w:i/>
        </w:rPr>
        <w:t>pure-play</w:t>
      </w:r>
      <w:r>
        <w:t>) voltadas exclusivamente à orquestração e desduplicação de achados.</w:t>
      </w:r>
    </w:p>
    <w:p>
      <w:pPr>
        <w:pStyle w:val="ListBullet"/>
        <w:spacing w:after="60"/>
      </w:pPr>
      <w:r>
        <w:rPr>
          <w:b/>
        </w:rPr>
        <w:t>Fase 4 (Convergência e Contexto de Execução - 2024 a 2025):</w:t>
      </w:r>
      <w:r>
        <w:t xml:space="preserve"> Fusão entre o contexto estático (</w:t>
      </w:r>
      <w:r>
        <w:rPr>
          <w:i/>
        </w:rPr>
        <w:t>Code</w:t>
      </w:r>
      <w:r>
        <w:t>) e o contexto dinâmico (</w:t>
      </w:r>
      <w:r>
        <w:rPr>
          <w:i/>
        </w:rPr>
        <w:t>Cloud/Runtime</w:t>
      </w:r>
      <w:r>
        <w:t xml:space="preserve">). Integração nativa entre soluções de ASPM e plataformas de </w:t>
      </w:r>
      <w:r>
        <w:rPr>
          <w:i/>
        </w:rPr>
        <w:t>Cloud-Native Application Protection</w:t>
      </w:r>
      <w:r>
        <w:t xml:space="preserve"> (CNAPP).</w:t>
      </w:r>
    </w:p>
    <w:p>
      <w:pPr>
        <w:pStyle w:val="ListBullet"/>
        <w:spacing w:after="60"/>
      </w:pPr>
      <w:r>
        <w:rPr>
          <w:b/>
        </w:rPr>
        <w:t>Fase 5 (Automação Autônoma e Governança Orientada por IA - 2026):</w:t>
      </w:r>
      <w:r>
        <w:t xml:space="preserve"> Aplicação de aprendizado de máquina e modelos de linguagem para validação de falsos positivos, classificação de rotas de ataque (</w:t>
      </w:r>
      <w:r>
        <w:rPr>
          <w:i/>
        </w:rPr>
        <w:t>attack paths</w:t>
      </w:r>
      <w:r>
        <w:t>) e triagem de vulnerabilidades em tempo real.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4. Panorama Econômico e Projeções de Mercado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4.1 Dimensionamento do Mercado (2024–2030)</w:t>
      </w:r>
    </w:p>
    <w:p>
      <w:pPr>
        <w:spacing w:after="120"/>
      </w:pPr>
      <w:r>
        <w:t>O mercado global de soluções voltadas ao gerenciamento da postura de segurança tem registrado taxas de crescimento anual compostas (CAGR) expressivas. Segundo levantamentos da Frost &amp; Sullivan (2025), o segmento específico de ASPM apresentou uma receita global aproximada de US</w:t>
      </w:r>
      <w:r>
        <w:rPr>
          <w:rFonts w:ascii="Cambria Math" w:hAnsi="Cambria Math"/>
          <w:i/>
        </w:rPr>
        <w:t xml:space="preserve"> 515 milhões a US</w:t>
      </w:r>
      <w:r>
        <w:t xml:space="preserve"> 687 milhões no período entre 2024 e 2025, com projeções de atingir US$ 2,28 bilhões até o ano de 2030.</w:t>
      </w:r>
    </w:p>
    <w:p>
      <w:pPr>
        <w:spacing w:after="120"/>
      </w:pPr>
      <w:r>
        <w:t>Em uma análise ampliada que engloba a gestão de postura de segurança corporativa (</w:t>
      </w:r>
      <w:r>
        <w:rPr>
          <w:i/>
        </w:rPr>
        <w:t>Security Posture Management</w:t>
      </w:r>
      <w:r>
        <w:t xml:space="preserve"> - SPM, cobrindo ASPM, CSPM, DSPM e SSPM), pesquisas publicadas pela MarketsandMarkets (2024) projetam que o mercado global atinja a marca de US$ 53,31 bilhões até 2030.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4.2 Vetores de Crescimento Econômico e Regulatório</w:t>
      </w:r>
    </w:p>
    <w:p>
      <w:pPr>
        <w:spacing w:after="120"/>
      </w:pPr>
      <w:r>
        <w:t>A aceleração da adoção de plataformas de ASPM em ambiente corporativo é impulsionada por três fatores principais:</w:t>
      </w:r>
    </w:p>
    <w:p>
      <w:pPr>
        <w:pStyle w:val="ListNumber"/>
        <w:spacing w:after="60"/>
      </w:pPr>
      <w:r>
        <w:rPr>
          <w:b/>
        </w:rPr>
        <w:t>Complexidade Arquitetural:</w:t>
      </w:r>
      <w:r>
        <w:t xml:space="preserve"> O aumento exponencial do volume de microsserviços e contêineres inviabiliza a auditoria manual de conformidade de código e infraestrutura.</w:t>
      </w:r>
    </w:p>
    <w:p>
      <w:pPr>
        <w:pStyle w:val="ListNumber"/>
        <w:spacing w:after="60"/>
      </w:pPr>
      <w:r>
        <w:rPr>
          <w:b/>
        </w:rPr>
        <w:t>Pressão Regulatória Exógena:</w:t>
      </w:r>
      <w:r>
        <w:t xml:space="preserve"> As exigências legais introduzidas pela União Europeia (NIS2, DORA e Cyber Resilience Act) e pelos Estados Unidos (SEC Rule 33-11216) impõem penalidades financeiras severas para organizações que não demonstrarem rastreabilidade e governança contínua dos riscos cibernéticos.</w:t>
      </w:r>
    </w:p>
    <w:p>
      <w:pPr>
        <w:pStyle w:val="ListNumber"/>
        <w:spacing w:after="60"/>
      </w:pPr>
      <w:r>
        <w:rPr>
          <w:b/>
        </w:rPr>
        <w:t>Otimização de Custos de TI (OpEx):</w:t>
      </w:r>
      <w:r>
        <w:t xml:space="preserve"> A consolidação de ferramentas reduz os custos de licenciamento sobrepostos e otimiza o tempo gasto pelas equipes de engenharia em tarefas de triagem manual de alertas.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5. Frameworks Regulatórios, Normas Técnicas e Compliance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5.1 NIST SP 800-53 (Revisão 5)</w:t>
      </w:r>
    </w:p>
    <w:p>
      <w:pPr>
        <w:spacing w:after="120"/>
      </w:pPr>
      <w:r>
        <w:t>O padrão NIST Special Publication 800-53 Rev. 5 estabelece um catálogo detalhado de controles de segurança e privacidade para organizações. As soluções de ASPM atuam diretamente no atendimento e na automação do monitoramento contínuo dos seguintes grupos de controle:</w:t>
      </w:r>
    </w:p>
    <w:p>
      <w:pPr>
        <w:keepNext/>
        <w:spacing w:before="160" w:after="40"/>
      </w:pPr>
      <w:r>
        <w:rPr>
          <w:rFonts w:ascii="Calibri" w:hAnsi="Calibri"/>
          <w:b/>
          <w:i/>
          <w:color w:val="444444"/>
          <w:sz w:val="22"/>
        </w:rPr>
        <w:t>Família Risk Assessment (RA)</w:t>
      </w:r>
    </w:p>
    <w:p>
      <w:pPr>
        <w:pStyle w:val="ListBullet"/>
        <w:spacing w:after="60"/>
      </w:pPr>
      <w:r>
        <w:rPr>
          <w:b/>
        </w:rPr>
        <w:t>RA-5 (Vulnerability Monitoring and Scanning):</w:t>
      </w:r>
      <w:r>
        <w:t xml:space="preserve"> Exige a varredura e o monitoramento contínuo de vulnerabilidades na aplicação e na infraestrutura, integrando fontes atualizadas de dados de ameaças.</w:t>
      </w:r>
    </w:p>
    <w:p>
      <w:pPr>
        <w:pStyle w:val="ListBullet"/>
        <w:spacing w:after="60"/>
      </w:pPr>
      <w:r>
        <w:rPr>
          <w:b/>
        </w:rPr>
        <w:t>RA-5(2) (Update by Frequency / Prior to Testing):</w:t>
      </w:r>
      <w:r>
        <w:t xml:space="preserve"> Determina a atualização contínua das capacidades de detecção das ferramentas de varredura.</w:t>
      </w:r>
    </w:p>
    <w:p>
      <w:pPr>
        <w:pStyle w:val="ListBullet"/>
        <w:spacing w:after="60"/>
      </w:pPr>
      <w:r>
        <w:rPr>
          <w:b/>
        </w:rPr>
        <w:t>RA-7 (Risk Response):</w:t>
      </w:r>
      <w:r>
        <w:t xml:space="preserve"> Regulamenta a obrigatoriedade de estruturação de prazos e respostas baseadas no nível de risco identificado.</w:t>
      </w:r>
    </w:p>
    <w:p>
      <w:pPr>
        <w:keepNext/>
        <w:spacing w:before="160" w:after="40"/>
      </w:pPr>
      <w:r>
        <w:rPr>
          <w:rFonts w:ascii="Calibri" w:hAnsi="Calibri"/>
          <w:b/>
          <w:i/>
          <w:color w:val="444444"/>
          <w:sz w:val="22"/>
        </w:rPr>
        <w:t>Família System and Information Integrity (SI)</w:t>
      </w:r>
    </w:p>
    <w:p>
      <w:pPr>
        <w:pStyle w:val="ListBullet"/>
        <w:spacing w:after="60"/>
      </w:pPr>
      <w:r>
        <w:rPr>
          <w:b/>
        </w:rPr>
        <w:t>SI-2 (Flaw Remediation):</w:t>
      </w:r>
      <w:r>
        <w:t xml:space="preserve"> Exige a identificação, o reporte e o saneamento tempestivo de falhas de software.</w:t>
      </w:r>
    </w:p>
    <w:p>
      <w:pPr>
        <w:pStyle w:val="ListBullet"/>
        <w:spacing w:after="60"/>
      </w:pPr>
      <w:r>
        <w:rPr>
          <w:b/>
        </w:rPr>
        <w:t>SI-2(2) (Automated Flaw Remediation Status):</w:t>
      </w:r>
      <w:r>
        <w:t xml:space="preserve"> Encoraja o rastreamento automatizado do status de correção de falhas no ambiente corporativo.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5.2 Normas ISO/IEC 27001:2022 e ISO/IEC 27005:2022</w:t>
      </w:r>
    </w:p>
    <w:p>
      <w:pPr>
        <w:spacing w:after="120"/>
      </w:pPr>
      <w:r>
        <w:t>A conformidade com o Sistema de Gestão de Segurança da Informação (SGSI), estruturado segundo a norma ISO/IEC 27001:2022, requer a implementação de controles técnicos específicos listados no Anexo A.</w:t>
      </w:r>
    </w:p>
    <w:p>
      <w:pPr>
        <w:pStyle w:val="ListBullet"/>
        <w:spacing w:after="60"/>
      </w:pPr>
      <w:r>
        <w:rPr>
          <w:b/>
        </w:rPr>
        <w:t>Controle A.8.8 (Management of Technical Vulnerabilities):</w:t>
      </w:r>
      <w:r>
        <w:t xml:space="preserve"> Determina que informações sobre vulnerabilidades técnicas dos sistemas em uso devem ser obtidas em tempo hábil, a exposição da organização deve ser avaliada e medidas apropriadas tomadas de acordo com o risco associado.</w:t>
      </w:r>
    </w:p>
    <w:p>
      <w:pPr>
        <w:spacing w:after="120"/>
      </w:pPr>
      <w:r>
        <w:t>A ISO/IEC 27005:2022 fornece as diretrizes para a condução do processo de gestão de riscos de segurança da informação. O ASPM operacionaliza a ISO 27005 ao fornecer a ponte entre os achados técnicos (vulnerabilidades e ameaças) e a avaliação do impacto nos ativos de informação, assegurando que o tratamento de riscos seja fundamentado em evidências empíricas e auditáveis.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5.3 Framework OWASP SAMM v2</w:t>
      </w:r>
    </w:p>
    <w:p>
      <w:pPr>
        <w:spacing w:after="120"/>
      </w:pPr>
      <w:r>
        <w:t xml:space="preserve">O </w:t>
      </w:r>
      <w:r>
        <w:rPr>
          <w:i/>
        </w:rPr>
        <w:t>Software Assurance Maturity Model</w:t>
      </w:r>
      <w:r>
        <w:t xml:space="preserve"> (SAMM) do OWASP estrutura o programa de segurança de aplicações em cinco Funções de Negócio: Governança, Design, Implementação, Verificação e Operações.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F497D"/>
              <w:right w:val="single" w:sz="4" w:space="0" w:color="D0D7DE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+-------------------------------------------------------------------------+</w:t>
              <w:br/>
              <w:t>|                         FUNÇÕES DE NEGÓCIO SAMM                         |</w:t>
              <w:br/>
              <w:t>+-------------------+--------------------+--------------------------------+</w:t>
              <w:br/>
              <w:t>| Função            | Práticas Cobertas  | Papel do ASPM                  |</w:t>
              <w:br/>
              <w:t>+-------------------+--------------------+--------------------------------+</w:t>
              <w:br/>
              <w:t>| Governança        | Estratégia e       | Avaliação objetiva de métricas |</w:t>
              <w:br/>
              <w:t>|                   | Métricas; Política | de risco e acompanhamento de   |</w:t>
              <w:br/>
              <w:t>|                   | e Conformidade     | conformidade normativa.        |</w:t>
              <w:br/>
              <w:t>+-------------------+--------------------+--------------------------------+</w:t>
              <w:br/>
              <w:t>| Implementação     | Construção Segura; | Validação automatizada de SBOM |</w:t>
              <w:br/>
              <w:t>|                   | Gestão de Defeitos | e gestão unificada do backlog  |</w:t>
              <w:br/>
              <w:t>|                   |                    | de falhas de segurança.        |</w:t>
              <w:br/>
              <w:t>+-------------------+--------------------+--------------------------------+</w:t>
              <w:br/>
              <w:t>| Verificação       | Testes de Segurança| Consolidação e correlação das  |</w:t>
              <w:br/>
              <w:t>|                   |                    | saídas de SAST, DAST e SCA.    |</w:t>
              <w:br/>
              <w:t>+-------------------+--------------------+--------------------------------+</w:t>
              <w:br/>
              <w:t>| Operações         | Gestão de Ambiente | Monitoramento da postura em    |</w:t>
              <w:br/>
              <w:t>|                   |                    | produção (Code-to-Cloud).      |</w:t>
              <w:br/>
              <w:t>+-------------------+--------------------+--------------------------------+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6. Arquitetura e Modelagem de Painéis de Governança de Risco</w:t>
      </w:r>
    </w:p>
    <w:p>
      <w:pPr>
        <w:spacing w:after="120"/>
      </w:pPr>
      <w:r>
        <w:t>Um painel (</w:t>
      </w:r>
      <w:r>
        <w:rPr>
          <w:i/>
        </w:rPr>
        <w:t>dashboard</w:t>
      </w:r>
      <w:r>
        <w:t>) de governança de risco baseado em ASPM deve atender a uma estrutura hierárquica e multicamada de exibição de dados, permitindo o direcionamento de informações específicas para diferentes níveis de tomada de decisão.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F497D"/>
              <w:right w:val="single" w:sz="4" w:space="0" w:color="D0D7DE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+-------------------------------------------------------------------------+</w:t>
              <w:br/>
              <w:t>|                  ARQUITETURA DE DADOS DO PAINEL ASPM                    |</w:t>
              <w:br/>
              <w:t>+-------------------------------------------------------------------------+</w:t>
              <w:br/>
              <w:t>| CAMADA ESTRATÉGICA (Executivos / CISO / Board)                          |</w:t>
              <w:br/>
              <w:t>| - Índice Geral de Risco Corporativo (Composite Risk Score)              |</w:t>
              <w:br/>
              <w:t>| - Tendência Temporal de Remediação (MTTR 30/60/90 dias)                 |</w:t>
              <w:br/>
              <w:t>| - Taxa de Conformidade Regulatória (ISO 27001, NIST, PCI-DSS)           |</w:t>
              <w:br/>
              <w:t>| - Estimativa Monetária da Exposição ao Risco (Cyber Risk Quantification)|</w:t>
              <w:br/>
              <w:t>+-------------------------------------------------------------------------+</w:t>
              <w:br/>
              <w:t>| CAMADA OPERACIONAL (Equipe de Segurança / SecOps / GRC)                 |</w:t>
              <w:br/>
              <w:t>| - Visão de Rotas de Ataque (Attack Path Visualizer)                     |</w:t>
              <w:br/>
              <w:t>| - Monitoramento de Violação de SLAs de Remediação                       |</w:t>
              <w:br/>
              <w:t>| - Volume de Vulnerabilidades Priorizadas (Filtro CVSS + EPSS + KEV)     |</w:t>
              <w:br/>
              <w:t>| - Mapeamento de Falsos Positivos e Regras de Supressão                  |</w:t>
              <w:br/>
              <w:t>+-------------------------------------------------------------------------+</w:t>
              <w:br/>
              <w:t>| CAMADA TÁTICA (Engenharia de Software / DevSecOps)                      |</w:t>
              <w:br/>
              <w:t>| - Achados por Repositório e Pipeline de CI/CD                           |</w:t>
              <w:br/>
              <w:t>| - Rastreabilidade de Commi/Pull Request e Atribuição de Ownership        |</w:t>
              <w:br/>
              <w:t>| - Integração Bidirecional com Gestão de Tickets (ex: Jira, ServiceNow)  |</w:t>
              <w:br/>
              <w:t>| - Orientações Automatizadas para Remediação de Código Fonte             |</w:t>
              <w:br/>
              <w:t>+-------------------------------------------------------------------------+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7. Análise Comparativa do Estado da Arte das Plataformas</w:t>
      </w:r>
    </w:p>
    <w:p>
      <w:pPr>
        <w:spacing w:after="120"/>
      </w:pPr>
      <w:r>
        <w:t>A evolução do mercado resultou no surgimento de abordagens arquiteturais distintas para o desenvolvimento de soluções de ASPM. As plataformas dividem-se fundamentalmente em quatro categorias de origem:</w:t>
      </w:r>
    </w:p>
    <w:p>
      <w:pPr>
        <w:pStyle w:val="ListNumber"/>
        <w:spacing w:after="60"/>
      </w:pPr>
      <w:r>
        <w:rPr>
          <w:i/>
        </w:rPr>
      </w:r>
      <w:r>
        <w:rPr>
          <w:i/>
        </w:rPr>
        <w:t>Soluções Nativas de CNAPP (</w:t>
      </w:r>
      <w:r>
        <w:t>Cloud-Native Protection</w:t>
      </w:r>
      <w:r>
        <w:rPr>
          <w:i/>
        </w:rPr>
        <w:t>):</w:t>
      </w:r>
      <w:r>
        <w:t>* Expandem a visibilidade do ambiente de nuvem em direção ao código-fonte.</w:t>
      </w:r>
    </w:p>
    <w:p>
      <w:pPr>
        <w:pStyle w:val="ListNumber"/>
        <w:spacing w:after="60"/>
      </w:pPr>
      <w:r>
        <w:rPr>
          <w:b/>
        </w:rPr>
        <w:t>Plataformas de Teste de Segurança de Aplicações (AST):</w:t>
      </w:r>
      <w:r>
        <w:t xml:space="preserve"> Evoluem de escâneres individuais para portais de gestão unificada.</w:t>
      </w:r>
    </w:p>
    <w:p>
      <w:pPr>
        <w:pStyle w:val="ListNumber"/>
        <w:spacing w:after="60"/>
      </w:pPr>
      <w:r>
        <w:rPr>
          <w:i/>
        </w:rPr>
      </w:r>
      <w:r>
        <w:rPr>
          <w:i/>
        </w:rPr>
        <w:t>Plataformas Puras (</w:t>
      </w:r>
      <w:r>
        <w:t>Pure-Play ASPM</w:t>
      </w:r>
      <w:r>
        <w:rPr>
          <w:i/>
        </w:rPr>
        <w:t>):</w:t>
      </w:r>
      <w:r>
        <w:t>* Atuam exclusivamente como motores agnósticos de orquestração e correlação.</w:t>
      </w:r>
    </w:p>
    <w:p>
      <w:pPr>
        <w:pStyle w:val="ListNumber"/>
        <w:spacing w:after="60"/>
      </w:pPr>
      <w:r>
        <w:rPr>
          <w:b/>
        </w:rPr>
        <w:t>Ambientes Integrados de Desenvolvimento/SCM:</w:t>
      </w:r>
      <w:r>
        <w:t xml:space="preserve"> Incorporam recursos de varredura e governança nativamente nos repositórios de código.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Tabela 1: Matriz Comparativa de Capacidades de Governança e ASPM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497D"/>
          <w:insideH w:val="single" w:sz="4" w:space="0" w:color="E0E0E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Fabricante / Plataforma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Categoria de Origem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Mecanismo Central de Correlação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Diferencial de Governança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97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Principais Casos de Uso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**Palo Alto Networks** (Prisma Cloud ASPM)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CNAPP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Precision AI™ e Grafo de Dependências Code-to-Cloud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Análise contextual de rotas de ataque conectando infraestrutura e código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Organizações multi-cloud de grande porte buscando plataforma unificada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**Microsoft** (Defender for Cloud + GHAS)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CNAPP / SCM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Cloud Security Graph e Integração Nativa Azure/GitHub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Cobertura abrangente do ciclo DevOps com mapeamento no Microsoft Cloud Security Benchmark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Ambientes corporativos padronizados no ecossistema Microsoft/GitHub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**CrowdStrike** (Falcon ASPM)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EDR / Runtime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Telemetria de Produção via Falcon Sensor correlacionada ao Código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Priorização baseada na execução real da vulnerabilidade em ambiente de produção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Organizações focadas em reduzir severamente a quantidade de alertas através de validação em runtime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**Wiz** (Wiz Code)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CNAPP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Wiz Security Graph (Toxic Combinations)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Mapeamento gráfico da relação entre identidades, configurações e vulnerabilidades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Ambientes cloud-native complexos com foco na identificação de combinações tóxicas de risco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**Orca Security**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CNAPP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SideScanning™ e Unified Data Model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Cobertura agentless profunda de sistema de arquivos e memória com certificação FedRAMP Moderate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Organizações que exigem conformidade governamental estrita e auditoria agentless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**ArmorCode**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Pure-Play ASPM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Motor de Normalização e Ingestão Agnóstica (100+ Scanners)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Desduplicação, orquestração e atribuição automatizada de workflows sem lock-in de fornecedor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Empresas com alto grau de heterogeneidade de ferramentas de segurança estáticas e dinâmicas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**Snyk** (Snyk AppRisk)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AST / Developer-First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Correlação de SCA/SAST com Ativos de Produção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Enfoque na experiência do desenvolvedor e automação de remediação na pipeline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Equipes de engenharia de software com forte cultura DevSecOps e adoção de Snyk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**Checkmarx** (Checkmarx One)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AST Enterprise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Engine de Orquestração Checkmarx ASPM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Integração nativa entre motores de varredura próprios (SAST, DAST, SCA, API) e camada de postura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Grandes corporações que buscam um único fornecedor para a suíte de varreduras e governança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**GitLab** (GitLab Ultimate)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DevSecOps Platform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Pipeline Nativa de CI/CD e Dashboard Centralizado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Rastreabilidade completa de ponta a ponta e governança regulatória unificada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5F9"/>
          </w:tcPr>
          <w:p>
            <w:pPr>
              <w:spacing w:after="40" w:before="40"/>
            </w:pPr>
            <w:r>
              <w:rPr>
                <w:sz w:val="19"/>
              </w:rPr>
              <w:t>Organizações em setores altamente regulados que buscam consolidar toda a cadeia de desenvolvimento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8. Modelagem de Priorização de Vulnerabilidades: CVSS, EPSS e CISA KEV</w:t>
      </w:r>
    </w:p>
    <w:p>
      <w:pPr>
        <w:spacing w:after="120"/>
      </w:pPr>
      <w:r>
        <w:t xml:space="preserve">A abordagem convencional de priorização baseada exclusivamente nas pontuações brutas do </w:t>
      </w:r>
      <w:r>
        <w:rPr>
          <w:i/>
        </w:rPr>
        <w:t>Common Vulnerability Scoring System</w:t>
      </w:r>
      <w:r>
        <w:t xml:space="preserve"> (CVSS) provou ser ineficaz em ambientes corporativos de grande escala. O CVSS mede a severidade técnica teórica de uma falha em uma escala de 0 a 10, sem considerar a probabilidade real de exploração ou a presença da falha em ativos expostos.</w:t>
      </w:r>
    </w:p>
    <w:p>
      <w:pPr>
        <w:spacing w:after="120"/>
      </w:pPr>
      <w:r>
        <w:t>Estudos operacionais indicam que apenas 2% a 5% das vulnerabilidades divulgadas publicamente são efetivamente exploradas em ataques reais. Para solucionar a ineficiência causada pela abordagem baseada unicamente no CVSS, a governança moderna adota um modelo de priorização tripartido e multivariado.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8.1 Componentes do Modelo Tripartido</w:t>
      </w:r>
    </w:p>
    <w:p>
      <w:pPr>
        <w:pStyle w:val="ListNumber"/>
        <w:spacing w:after="60"/>
      </w:pPr>
      <w:r>
        <w:rPr>
          <w:b/>
        </w:rPr>
        <w:t>Common Vulnerability Scoring System (CVSS v4.0):</w:t>
      </w:r>
      <w:r>
        <w:t xml:space="preserve"> Define o impacto técnico teórico da vulnerabilidade (Severidade).</w:t>
      </w:r>
    </w:p>
    <w:p>
      <w:pPr>
        <w:pStyle w:val="ListNumber"/>
        <w:spacing w:after="60"/>
      </w:pPr>
      <w:r>
        <w:rPr>
          <w:b/>
        </w:rPr>
        <w:t>Exploit Prediction Scoring System (EPSS v3):</w:t>
      </w:r>
      <w:r>
        <w:t xml:space="preserve"> Modelo estatístico desenvolvido pelo FIRST que estima a probabilidade de uma vulnerabilidade ser explorada no ambiente selvagem (</w:t>
      </w:r>
      <w:r>
        <w:rPr>
          <w:i/>
        </w:rPr>
        <w:t>in the wild</w:t>
      </w:r>
      <w:r>
        <w:t>) nos 30 dias subsequentes à análise. O score varia entre 0 e 1 (0% a 100%).</w:t>
      </w:r>
    </w:p>
    <w:p>
      <w:pPr>
        <w:pStyle w:val="ListNumber"/>
        <w:spacing w:after="60"/>
      </w:pPr>
      <w:r>
        <w:rPr>
          <w:b/>
        </w:rPr>
        <w:t>CISA Known Exploited Vulnerabilities (KEV) Catalog:</w:t>
      </w:r>
      <w:r>
        <w:t xml:space="preserve"> Banco de dados mantido pela agência governamental norte-americana CISA que lista vulnerabilidades com exploração ativa e confirmada por atores de ameaça.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8.2 Formulação Matemática de Priorização de Risco</w:t>
      </w:r>
    </w:p>
    <w:p>
      <w:pPr>
        <w:spacing w:after="120"/>
      </w:pPr>
      <w:r>
        <w:t>Para determinar o Score de Risco Priorizado (</w:t>
      </w:r>
      <w:r>
        <w:rPr>
          <w:rFonts w:ascii="Cambria Math" w:hAnsi="Cambria Math"/>
          <w:i/>
        </w:rPr>
        <w:t>R_p</w:t>
      </w:r>
      <w:r>
        <w:t xml:space="preserve">) de uma vulnerabilidade </w:t>
      </w:r>
      <w:r>
        <w:rPr>
          <w:rFonts w:ascii="Cambria Math" w:hAnsi="Cambria Math"/>
          <w:i/>
        </w:rPr>
        <w:t>v</w:t>
      </w:r>
      <w:r>
        <w:t xml:space="preserve"> instalada no ativo </w:t>
      </w:r>
      <w:r>
        <w:rPr>
          <w:rFonts w:ascii="Cambria Math" w:hAnsi="Cambria Math"/>
          <w:i/>
        </w:rPr>
        <w:t>a</w:t>
      </w:r>
      <w:r>
        <w:t>, aplica-se a seguinte função ponderada:</w:t>
      </w:r>
    </w:p>
    <w:p>
      <w:pPr>
        <w:spacing w:after="120"/>
      </w:pPr>
      <w:r>
        <w:rPr>
          <w:rFonts w:ascii="Cambria Math" w:hAnsi="Cambria Math"/>
          <w:i/>
        </w:rPr>
        <w:t>R_p(v, a) = \left[ S_{CVSS}(v) \cdot W_{severity} + P_{EPSS}(v) \cdot W_{exploit} \right] \cdot C_{asset}(a) \cdot E_{factor}(a) \cdot KEV(v)</w:t>
      </w:r>
    </w:p>
    <w:p>
      <w:pPr>
        <w:spacing w:after="120"/>
      </w:pPr>
      <w:r>
        <w:t>Onde:</w:t>
      </w:r>
    </w:p>
    <w:p>
      <w:pPr>
        <w:pStyle w:val="ListBullet"/>
        <w:spacing w:after="60"/>
      </w:pPr>
      <w:r>
        <w:rPr>
          <w:rFonts w:ascii="Cambria Math" w:hAnsi="Cambria Math"/>
          <w:i/>
        </w:rPr>
        <w:t>S_{CVSS}(v) \in [0, 10]</w:t>
      </w:r>
      <w:r>
        <w:t>: Pontuação do CVSS atribuída à vulnerabilidade.</w:t>
      </w:r>
    </w:p>
    <w:p>
      <w:pPr>
        <w:pStyle w:val="ListBullet"/>
        <w:spacing w:after="60"/>
      </w:pPr>
      <w:r>
        <w:rPr>
          <w:rFonts w:ascii="Cambria Math" w:hAnsi="Cambria Math"/>
          <w:i/>
        </w:rPr>
        <w:t>P_{EPSS}(v) \in [0, 1]</w:t>
      </w:r>
      <w:r>
        <w:t>: Probabilidade dada pelo EPSS.</w:t>
      </w:r>
    </w:p>
    <w:p>
      <w:pPr>
        <w:pStyle w:val="ListBullet"/>
        <w:spacing w:after="60"/>
      </w:pPr>
      <w:r>
        <w:rPr>
          <w:rFonts w:ascii="Cambria Math" w:hAnsi="Cambria Math"/>
          <w:i/>
        </w:rPr>
        <w:t>W_{severity}, W_{exploit}</w:t>
      </w:r>
      <w:r>
        <w:t xml:space="preserve">: Pesos calibrados de acordo com a política de risco da organização (ex: </w:t>
      </w:r>
      <w:r>
        <w:rPr>
          <w:rFonts w:ascii="Cambria Math" w:hAnsi="Cambria Math"/>
          <w:i/>
        </w:rPr>
        <w:t>W_{severity} = 0,3</w:t>
      </w:r>
      <w:r>
        <w:t xml:space="preserve"> e </w:t>
      </w:r>
      <w:r>
        <w:rPr>
          <w:rFonts w:ascii="Cambria Math" w:hAnsi="Cambria Math"/>
          <w:i/>
        </w:rPr>
        <w:t>W_{exploit} = 0,7</w:t>
      </w:r>
      <w:r>
        <w:t>).</w:t>
      </w:r>
    </w:p>
    <w:p>
      <w:pPr>
        <w:pStyle w:val="ListBullet"/>
        <w:spacing w:after="60"/>
      </w:pPr>
      <w:r>
        <w:rPr>
          <w:rFonts w:ascii="Cambria Math" w:hAnsi="Cambria Math"/>
          <w:i/>
        </w:rPr>
        <w:t>C_{asset}(a)</w:t>
      </w:r>
      <w:r>
        <w:t>: Fator de criticidade do ativo de negócio (ex: Ativo Crítico/Tier 0 = 3,0; Ativo Secundário = 1,5; Ativo Interno de Teste = 0,5).</w:t>
      </w:r>
    </w:p>
    <w:p>
      <w:pPr>
        <w:pStyle w:val="ListBullet"/>
        <w:spacing w:after="60"/>
      </w:pPr>
      <w:r>
        <w:rPr>
          <w:rFonts w:ascii="Cambria Math" w:hAnsi="Cambria Math"/>
          <w:i/>
        </w:rPr>
        <w:t>E_{factor}(a)</w:t>
      </w:r>
      <w:r>
        <w:t>: Fator de exposição de rede (ex: Exposto à Internet = 2,0; Rede Interna Segregada = 1,0).</w:t>
      </w:r>
    </w:p>
    <w:p>
      <w:pPr>
        <w:pStyle w:val="ListBullet"/>
        <w:spacing w:after="60"/>
      </w:pPr>
      <w:r>
        <w:rPr>
          <w:rFonts w:ascii="Cambria Math" w:hAnsi="Cambria Math"/>
          <w:i/>
        </w:rPr>
        <w:t>KEV(v)</w:t>
      </w:r>
      <w:r>
        <w:t xml:space="preserve">: Modificador binário de exploração ativa. Caso </w:t>
      </w:r>
      <w:r>
        <w:rPr>
          <w:rFonts w:ascii="Cambria Math" w:hAnsi="Cambria Math"/>
          <w:i/>
        </w:rPr>
        <w:t>v \in \text{CISA KEV}</w:t>
      </w:r>
      <w:r>
        <w:t>, define-se um multiplicador de sobreposição prioritária (</w:t>
      </w:r>
      <w:r>
        <w:rPr>
          <w:rFonts w:ascii="Cambria Math" w:hAnsi="Cambria Math"/>
          <w:i/>
        </w:rPr>
        <w:t>KEV(v) = 2,5</w:t>
      </w:r>
      <w:r>
        <w:t>) ou atribui-se automaticamente a classificação de severidade máxima.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8.3 Níveis de Priorização e Service Level Agreements (SLAs)</w:t>
      </w:r>
    </w:p>
    <w:p>
      <w:pPr>
        <w:spacing w:after="120"/>
      </w:pPr>
      <w:r>
        <w:t>A aplicação do modelo matemático estabelece faixas operacionais rígidas para remediação, correlacionando a prioridade aos prazos limites de atendimento (</w:t>
      </w:r>
      <w:r>
        <w:rPr>
          <w:i/>
        </w:rPr>
        <w:t>Service Level Agreements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F497D"/>
              <w:right w:val="single" w:sz="4" w:space="0" w:color="D0D7DE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+-------------------------------------------------------------------------+</w:t>
              <w:br/>
              <w:t>|               MATRIZ DE SLA POR NIVEL DE PRIORIZACAO                    |</w:t>
              <w:br/>
              <w:t>+------------+------------------------------------------+-----------------+</w:t>
              <w:br/>
              <w:t>| Prioridade | Condições de Enquadramento               | SLA Máximo      |</w:t>
              <w:br/>
              <w:t>+------------+------------------------------------------+-----------------+</w:t>
              <w:br/>
              <w:t>| P0 (Crítico| Vulnerabilidade presente no CISA KEV    | 24 a 72 horas   |</w:t>
              <w:br/>
              <w:t>| Emergencial)| em ativo exposto à internet (Tier 0/1)  |                 |</w:t>
              <w:br/>
              <w:t>+------------+------------------------------------------+-----------------+</w:t>
              <w:br/>
              <w:t>| P1 (Alto)  | CVSS &gt;= 8.0 com EPSS &gt;= 0.30 OU         | 15 dias corridos|</w:t>
              <w:br/>
              <w:t>|            | KEV presente em ativo interno            |                 |</w:t>
              <w:br/>
              <w:t>+------------+------------------------------------------+-----------------+</w:t>
              <w:br/>
              <w:t>| P2 (Médio) | CVSS &gt;= 7.0 com EPSS &lt; 0.30 em ativo    | 30 dias corridos|</w:t>
              <w:br/>
              <w:t>|            | corporativo de produção                  |                 |</w:t>
              <w:br/>
              <w:t>+------------+------------------------------------------+-----------------+</w:t>
              <w:br/>
              <w:t>| P3 (Baixo) | CVSS &lt; 7.0 e EPSS baixo em ativos       | 90 dias corridos|</w:t>
              <w:br/>
              <w:t>|            | não críticos                             |                 |</w:t>
              <w:br/>
              <w:t>+------------+------------------------------------------+-----------------+</w:t>
              <w:br/>
              <w:t>| P4 (Informativo)| Falhas de baixo impacto sem evidência de | 180 dias ou     |</w:t>
              <w:br/>
              <w:t>|            | exploração ou em ambientes isolados      | Aceite de Risco |</w:t>
              <w:br/>
              <w:t>+------------+------------------------------------------+-----------------+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9. Indicadores Chave de Desempenho (KPIs) e Métricas de Governança</w:t>
      </w:r>
    </w:p>
    <w:p>
      <w:pPr>
        <w:spacing w:after="120"/>
      </w:pPr>
      <w:r>
        <w:t>Para garantir a eficácia do programa de governança de segurança de aplicações, a liderança de segurança da informação deve monitorar um conjunto de Indicadores Chave de Desempenho (KPIs), categorizados por domínio de gestão.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9.1 Métricas de Eficiência Operacional</w:t>
      </w:r>
    </w:p>
    <w:p>
      <w:pPr>
        <w:pStyle w:val="ListBullet"/>
        <w:spacing w:after="60"/>
      </w:pPr>
      <w:r>
        <w:rPr>
          <w:b/>
        </w:rPr>
        <w:t>Mean Time to Detect (MTTD):</w:t>
      </w:r>
      <w:r>
        <w:t xml:space="preserve"> Tempo médio decorrido entre a introdução de um defeito de segurança na base de código (commit) e sua efetiva identificação pelas ferramentas de auditoria.</w:t>
      </w:r>
    </w:p>
    <w:p>
      <w:pPr>
        <w:pStyle w:val="ListBullet"/>
        <w:spacing w:after="60"/>
      </w:pPr>
      <w:r>
        <w:rPr>
          <w:b/>
        </w:rPr>
        <w:t>Mean Time to Remediate (MTTR):</w:t>
      </w:r>
      <w:r>
        <w:t xml:space="preserve"> Tempo médio decorrido entre a identificação da vulnerabilidade e a implantação da correção (</w:t>
      </w:r>
      <w:r>
        <w:rPr>
          <w:i/>
        </w:rPr>
        <w:t>patch</w:t>
      </w:r>
      <w:r>
        <w:t>) em ambiente de produção, mensurado separadamente por nível de severidade (P0 a P4).</w:t>
      </w:r>
    </w:p>
    <w:p>
      <w:pPr>
        <w:pStyle w:val="ListBullet"/>
        <w:spacing w:after="60"/>
      </w:pPr>
      <w:r>
        <w:rPr>
          <w:b/>
        </w:rPr>
        <w:t>Scan Coverage Rate (SCR):</w:t>
      </w:r>
      <w:r>
        <w:t xml:space="preserve"> Percentual de ativos digitais, repositórios de código e microsserviços ativamente cobertos por varreduras automáticas de segurança em relação ao inventário total de TI.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9.2 Métricas de Exposição e Postura de Risco</w:t>
      </w:r>
    </w:p>
    <w:p>
      <w:pPr>
        <w:pStyle w:val="ListBullet"/>
        <w:spacing w:after="60"/>
      </w:pPr>
      <w:r>
        <w:rPr>
          <w:b/>
        </w:rPr>
        <w:t>Composite Risk Score (CRS):</w:t>
      </w:r>
      <w:r>
        <w:t xml:space="preserve"> Pontuação agregada do nível de risco da organização, calculada ponderando a quantidade de vulnerabilidades ativas pela criticidade dos ativos afetados.</w:t>
      </w:r>
    </w:p>
    <w:p>
      <w:pPr>
        <w:pStyle w:val="ListBullet"/>
        <w:spacing w:after="60"/>
      </w:pPr>
      <w:r>
        <w:rPr>
          <w:b/>
        </w:rPr>
        <w:t>SLA Breach Rate:</w:t>
      </w:r>
      <w:r>
        <w:t xml:space="preserve"> Percentual de vulnerabilidades que ultrapassaram o tempo limite de remediação estabelecido na política interna de segurança.</w:t>
      </w:r>
    </w:p>
    <w:p>
      <w:pPr>
        <w:pStyle w:val="ListBullet"/>
        <w:spacing w:after="60"/>
      </w:pPr>
      <w:r>
        <w:rPr>
          <w:b/>
        </w:rPr>
        <w:t>False Positive Ratio (FPR):</w:t>
      </w:r>
      <w:r>
        <w:t xml:space="preserve"> Percentual de alertas gerados pelas ferramentas automatizadas que foram classificados como falsos positivos após triagem técnica.</w:t>
      </w:r>
    </w:p>
    <w:p>
      <w:pPr>
        <w:pStyle w:val="ListBullet"/>
        <w:spacing w:after="60"/>
      </w:pPr>
      <w:r>
        <w:rPr>
          <w:b/>
        </w:rPr>
        <w:t>Kev Remediation Rate:</w:t>
      </w:r>
      <w:r>
        <w:t xml:space="preserve"> Taxa de adesão à remediação de vulnerabilidades conhecidamente exploradas listadas no catálogo CISA KEV.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10. Integração DevSecOps e Segurança na Cadeia de Suprimentos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10.1 Automação e Security Gates</w:t>
      </w:r>
    </w:p>
    <w:p>
      <w:pPr>
        <w:spacing w:after="120"/>
      </w:pPr>
      <w:r>
        <w:t>A implementação efetiva da governança de ASPM exige a introdução de travas automáticas (</w:t>
      </w:r>
      <w:r>
        <w:rPr>
          <w:i/>
        </w:rPr>
        <w:t>security gates</w:t>
      </w:r>
      <w:r>
        <w:t>) no interior do fluxo de integração contínua (CI/CD). O objetivo consiste em impedir a progressão de artefatos de software que violem os limites de risco pré-estabelecidos.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8" w:space="0" w:color="1F497D"/>
              <w:right w:val="single" w:sz="4" w:space="0" w:color="D0D7DE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FLUXO DE INTEGRAÇÃO DE POLÍTICAS DE ASPM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[Código Fonte] </w:t>
              <w:br/>
              <w:t xml:space="preserve">       │</w:t>
              <w:br/>
              <w:t xml:space="preserve">       ▼</w:t>
              <w:br/>
              <w:t xml:space="preserve"> [Pull Request / Commits] ──► Varredura SAST &amp; Secrets Scan (IDE/Git)</w:t>
              <w:br/>
              <w:t xml:space="preserve">       │                      │</w:t>
              <w:br/>
              <w:t xml:space="preserve">       │                      ▼</w:t>
              <w:br/>
              <w:t xml:space="preserve">       │             Existe violação P0/P1? ──► SIM ──► Bloqueio de Merge</w:t>
              <w:br/>
              <w:t xml:space="preserve">       │                      │</w:t>
              <w:br/>
              <w:t xml:space="preserve">       ▼                      ▼ NÃO</w:t>
              <w:br/>
              <w:t xml:space="preserve"> [Pipeline CI/CD Build]   ──► Varredura SCA (Dependências) &amp; IaC</w:t>
              <w:br/>
              <w:t xml:space="preserve">       │                      │</w:t>
              <w:br/>
              <w:t xml:space="preserve">       │                      ▼</w:t>
              <w:br/>
              <w:t xml:space="preserve">       │             Existe violação P0/P1? ──► SIM ──► Interrupção da Build</w:t>
              <w:br/>
              <w:t xml:space="preserve">       │                      │</w:t>
              <w:br/>
              <w:t xml:space="preserve">       ▼                      ▼ NÃO</w:t>
              <w:br/>
              <w:t xml:space="preserve"> [Deploy em Staging/Prod] ──► DAST, Container Runtime &amp; CSPM Scanning</w:t>
              <w:br/>
              <w:t xml:space="preserve">       │                      │</w:t>
              <w:br/>
              <w:t xml:space="preserve">       │                      ▼</w:t>
              <w:br/>
              <w:t xml:space="preserve">       └───────────────────► Ingestão de Dados pelo Dashboard ASPM</w:t>
              <w:br/>
              <w:t xml:space="preserve">                              (Normalização, Correlação e Atribuição)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10.2 Software Bill of Materials (SBOM) e Regulação da Cadeia de Suprimentos</w:t>
      </w:r>
    </w:p>
    <w:p>
      <w:pPr>
        <w:spacing w:after="120"/>
      </w:pPr>
      <w:r>
        <w:t>As exigências decorrentes de regulamentações internacionais tornaram a emissão e a gestão da Lista de Materiais de Software (</w:t>
      </w:r>
      <w:r>
        <w:rPr>
          <w:i/>
        </w:rPr>
        <w:t>Software Bill of Materials</w:t>
      </w:r>
      <w:r>
        <w:t xml:space="preserve"> — SBOM) um componente obrigatório da governança de software.</w:t>
      </w:r>
    </w:p>
    <w:p>
      <w:pPr>
        <w:spacing w:after="120"/>
      </w:pPr>
      <w:r>
        <w:t>As plataformas de ASPM atuam na validação contínua dos arquivos de SBOM (formatos CycloneDX ou SPDX), verificando se os componentes de terceiros e bibliotecas de código aberto introduzem vulnerabilidades conhecidas, riscos de licenciamento de software (ex: licenças GPL incompatíveis) ou indícios de contaminação da cadeia de suprimentos (</w:t>
      </w:r>
      <w:r>
        <w:rPr>
          <w:i/>
        </w:rPr>
        <w:t>supply chain attacks</w:t>
      </w:r>
      <w:r>
        <w:t>).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11. Tendências Futuras e Desafios (2026–2030)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11.1 Inteligência Artificial e Agentes Autônomos de Remediação</w:t>
      </w:r>
    </w:p>
    <w:p>
      <w:pPr>
        <w:spacing w:after="120"/>
      </w:pPr>
      <w:r>
        <w:t>O avanço da inteligência artificial generativa e do desenvolvimento de agentes autônomos de código refatorou o processo de triagem. As plataformas de ASPM passam a incorporar capacidades de geração automática de correções de código (</w:t>
      </w:r>
      <w:r>
        <w:rPr>
          <w:i/>
        </w:rPr>
        <w:t>pull requests</w:t>
      </w:r>
      <w:r>
        <w:t xml:space="preserve"> automáticos) validadas e testadas sinteticamente antes da aprovação humana.</w:t>
      </w:r>
    </w:p>
    <w:p>
      <w:pPr>
        <w:keepNext/>
        <w:spacing w:before="200" w:after="80"/>
      </w:pPr>
      <w:r>
        <w:rPr>
          <w:rFonts w:ascii="Calibri" w:hAnsi="Calibri"/>
          <w:b/>
          <w:color w:val="333333"/>
          <w:sz w:val="24"/>
        </w:rPr>
        <w:t>11.2 Quantificação Monetária do Risco Cibernético (Cyber Risk Quantification - CRQ)</w:t>
      </w:r>
    </w:p>
    <w:p>
      <w:pPr>
        <w:spacing w:after="120"/>
      </w:pPr>
      <w:r>
        <w:t>A tradução de métricas técnicas (como severidade e contagem de falhas) em valores financeiros estimados de perda potencial (</w:t>
      </w:r>
      <w:r>
        <w:rPr>
          <w:i/>
        </w:rPr>
        <w:t>Loss Event Frequency</w:t>
      </w:r>
      <w:r>
        <w:t xml:space="preserve"> e </w:t>
      </w:r>
      <w:r>
        <w:rPr>
          <w:i/>
        </w:rPr>
        <w:t>Loss Magnitude</w:t>
      </w:r>
      <w:r>
        <w:t>) baseados no modelo FAIR (</w:t>
      </w:r>
      <w:r>
        <w:rPr>
          <w:i/>
        </w:rPr>
        <w:t>Factor Analysis of Information Risk</w:t>
      </w:r>
      <w:r>
        <w:t>) passa a ser um módulo integrado aos painéis executivos de ASPM, facilitando a comunicação entre o CISO e o Conselho de Administração (</w:t>
      </w:r>
      <w:r>
        <w:rPr>
          <w:i/>
        </w:rPr>
        <w:t>Board of Directors</w:t>
      </w:r>
      <w:r>
        <w:t>).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12. Conclusão</w:t>
      </w:r>
    </w:p>
    <w:p>
      <w:pPr>
        <w:spacing w:after="120"/>
      </w:pPr>
      <w:r>
        <w:t xml:space="preserve">O </w:t>
      </w:r>
      <w:r>
        <w:rPr>
          <w:i/>
        </w:rPr>
        <w:t>Application Security Posture Management</w:t>
      </w:r>
      <w:r>
        <w:t xml:space="preserve"> (ASPM) estabeleceu-se como a arquitetura fundamental para a governança moderna de riscos de segurança em aplicações. Ao consolidar saídas fragmentadas de ferramentas de varredura, integrar o contexto estático do código ao contexto dinâmico da nuvem, e aplicar modelos estatísticos rigorosos de priorização baseados em CVSS, EPSS e CISA KEV, o ASPM soluciona os entraves históricos da gestão tradicional de vulnerabilidades.</w:t>
      </w:r>
    </w:p>
    <w:p>
      <w:pPr>
        <w:spacing w:after="120"/>
      </w:pPr>
      <w:r>
        <w:t>A implementação bem-sucedida de um painel de governança de risco fundamentado em ASPM exige o alinhamento estratégico entre a liderança executiva, as equipes de segurança e a engenharia de software, garantindo que o cumprimento dos requisitos de conformidade (NIST, ISO, OWASP, DORA, NIS2) ocorra de maneira automatizada e integrada ao ritmo de entrega contínua do negócio.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28"/>
        </w:rPr>
        <w:t>Referências Bibliográficas</w:t>
      </w:r>
    </w:p>
    <w:p>
      <w:pPr>
        <w:pStyle w:val="ListBullet"/>
        <w:spacing w:after="60"/>
      </w:pPr>
      <w:r>
        <w:t xml:space="preserve">ARMORCODE. </w:t>
      </w:r>
      <w:r>
        <w:rPr>
          <w:i/>
        </w:rPr>
        <w:t>The State of Application Security Posture Management</w:t>
      </w:r>
      <w:r>
        <w:t>. Santa Clara: ArmorCode Research, 2024. Disponível em: &lt;https://www.armorcode.com&gt;. Acesso em: 21 jul. 2026.</w:t>
      </w:r>
    </w:p>
    <w:p>
      <w:pPr>
        <w:pStyle w:val="ListBullet"/>
        <w:spacing w:after="60"/>
      </w:pPr>
      <w:r>
        <w:t xml:space="preserve">CHECKMARX. </w:t>
      </w:r>
      <w:r>
        <w:rPr>
          <w:i/>
        </w:rPr>
        <w:t>The Forrester Wave™: Static Application Security Testing, Q2 2025</w:t>
      </w:r>
      <w:r>
        <w:t>. Ramat Gan: Checkmarx, 2025. Disponível em: &lt;https://www.checkmarx.com&gt;. Acesso em: 21 jul. 2026.</w:t>
      </w:r>
    </w:p>
    <w:p>
      <w:pPr>
        <w:pStyle w:val="ListBullet"/>
        <w:spacing w:after="60"/>
      </w:pPr>
      <w:r>
        <w:t xml:space="preserve">CYBERSECURITY AND INFRASTRUCTURE SECURITY AGENCY (CISA). </w:t>
      </w:r>
      <w:r>
        <w:rPr>
          <w:i/>
        </w:rPr>
        <w:t>Known Exploited Vulnerabilities Catalog</w:t>
      </w:r>
      <w:r>
        <w:t>. Washington, D.C.: CISA, 2024–2026. Disponível em: &lt;https://www.cisa.gov/known-exploited-vulnerabilities-catalog&gt;. Acesso em: 21 jul. 2026.</w:t>
      </w:r>
    </w:p>
    <w:p>
      <w:pPr>
        <w:pStyle w:val="ListBullet"/>
        <w:spacing w:after="60"/>
      </w:pPr>
      <w:r>
        <w:t xml:space="preserve">FORUM OF INCIDENT RESPONSE AND SECURITY TEAMS (FIRST). </w:t>
      </w:r>
      <w:r>
        <w:rPr>
          <w:i/>
        </w:rPr>
        <w:t>Common Vulnerability Scoring System v4.0 Specification</w:t>
      </w:r>
      <w:r>
        <w:t>. FIRST, 2023. Disponível em: &lt;https://www.first.org/cvss/v4.0/specification-document&gt;. Acesso em: 21 jul. 2026.</w:t>
      </w:r>
    </w:p>
    <w:p>
      <w:pPr>
        <w:pStyle w:val="ListBullet"/>
        <w:spacing w:after="60"/>
      </w:pPr>
      <w:r>
        <w:t xml:space="preserve">FORUM OF INCIDENT RESPONSE AND SECURITY TEAMS (FIRST). </w:t>
      </w:r>
      <w:r>
        <w:rPr>
          <w:i/>
        </w:rPr>
        <w:t>Exploit Prediction Scoring System (EPSS) User Guide</w:t>
      </w:r>
      <w:r>
        <w:t>. FIRST, 2023. Disponível em: &lt;https://www.first.org/epss/user-guide&gt;. Acesso em: 21 jul. 2026.</w:t>
      </w:r>
    </w:p>
    <w:p>
      <w:pPr>
        <w:pStyle w:val="ListBullet"/>
        <w:spacing w:after="60"/>
      </w:pPr>
      <w:r>
        <w:t xml:space="preserve">FROST &amp; SULLIVAN. </w:t>
      </w:r>
      <w:r>
        <w:rPr>
          <w:i/>
        </w:rPr>
        <w:t>Global Application Security Posture Management Market Forecast to 2030</w:t>
      </w:r>
      <w:r>
        <w:t>. San Antonio: Frost &amp; Sullivan, 2025. Disponível em: &lt;https://www.frost.com&gt;. Acesso em: 21 jul. 2026.</w:t>
      </w:r>
    </w:p>
    <w:p>
      <w:pPr>
        <w:pStyle w:val="ListBullet"/>
        <w:spacing w:after="60"/>
      </w:pPr>
      <w:r>
        <w:t xml:space="preserve">GARTNER. </w:t>
      </w:r>
      <w:r>
        <w:rPr>
          <w:i/>
        </w:rPr>
        <w:t>Hype Cycle for Application Security, 2024</w:t>
      </w:r>
      <w:r>
        <w:t>. Stamford: Gartner Inc., 2024. Disponível em: &lt;https://www.gartner.com&gt;. Acesso em: 21 jul. 2026.</w:t>
      </w:r>
    </w:p>
    <w:p>
      <w:pPr>
        <w:pStyle w:val="ListBullet"/>
        <w:spacing w:after="60"/>
      </w:pPr>
      <w:r>
        <w:t xml:space="preserve">GARTNER. </w:t>
      </w:r>
      <w:r>
        <w:rPr>
          <w:i/>
        </w:rPr>
        <w:t>Market Guide for Cloud-Native Application Protection Platforms (CNAPP)</w:t>
      </w:r>
      <w:r>
        <w:t>. Stamford: Gartner Inc., jul. 2024.</w:t>
      </w:r>
    </w:p>
    <w:p>
      <w:pPr>
        <w:pStyle w:val="ListBullet"/>
        <w:spacing w:after="60"/>
      </w:pPr>
      <w:r>
        <w:t xml:space="preserve">INTERNATIONAL ORGANIZATION FOR STANDARDIZATION. </w:t>
      </w:r>
      <w:r>
        <w:rPr>
          <w:i/>
        </w:rPr>
        <w:t>ISO/IEC 27001:2022 - Information security, cybersecurity and privacy protection — Information security management systems — Requirements</w:t>
      </w:r>
      <w:r>
        <w:t>. Genebra: ISO, 2022.</w:t>
      </w:r>
    </w:p>
    <w:p>
      <w:pPr>
        <w:pStyle w:val="ListBullet"/>
        <w:spacing w:after="60"/>
      </w:pPr>
      <w:r>
        <w:t xml:space="preserve">INTERNATIONAL ORGANIZATION FOR STANDARDIZATION. </w:t>
      </w:r>
      <w:r>
        <w:rPr>
          <w:i/>
        </w:rPr>
        <w:t>ISO/IEC 27005:2022 - Information security, cybersecurity and privacy protection — Guidance on managing information security risks</w:t>
      </w:r>
      <w:r>
        <w:t>. Genebra: ISO, 2022.</w:t>
      </w:r>
    </w:p>
    <w:p>
      <w:pPr>
        <w:pStyle w:val="ListBullet"/>
        <w:spacing w:after="60"/>
      </w:pPr>
      <w:r>
        <w:t xml:space="preserve">MARKETSANDMARKETS. </w:t>
      </w:r>
      <w:r>
        <w:rPr>
          <w:i/>
        </w:rPr>
        <w:t>Security Posture Management Market by Component, Cloud Model, Organization Size, Vertical - Global Forecast to 2030</w:t>
      </w:r>
      <w:r>
        <w:t>. Chicago: MarketsandMarkets, 2024.</w:t>
      </w:r>
    </w:p>
    <w:p>
      <w:pPr>
        <w:pStyle w:val="ListBullet"/>
        <w:spacing w:after="60"/>
      </w:pPr>
      <w:r>
        <w:t xml:space="preserve">MICROSOFT. </w:t>
      </w:r>
      <w:r>
        <w:rPr>
          <w:i/>
        </w:rPr>
        <w:t>Microsoft Defender for Cloud Documentation: DevOps Security and CSPM</w:t>
      </w:r>
      <w:r>
        <w:t>. Redmont: Microsoft Learn, 2024–2026. Disponível em: &lt;https://learn.microsoft.com/azure/defender-for-cloud/&gt;. Acesso em: 21 jul. 2026.</w:t>
      </w:r>
    </w:p>
    <w:p>
      <w:pPr>
        <w:pStyle w:val="ListBullet"/>
        <w:spacing w:after="60"/>
      </w:pPr>
      <w:r>
        <w:t xml:space="preserve">NATIONAL INSTITUTE OF STANDARDS AND TECHNOLOGY (NIST). </w:t>
      </w:r>
      <w:r>
        <w:rPr>
          <w:i/>
        </w:rPr>
        <w:t>Security and Privacy Controls for Information Systems and Organizations</w:t>
      </w:r>
      <w:r>
        <w:t>. NIST Special Publication 800-53, Revision 5. Gaithersburg: NIST, 2020 (atualizado em 2024).</w:t>
      </w:r>
    </w:p>
    <w:p>
      <w:pPr>
        <w:pStyle w:val="ListBullet"/>
        <w:spacing w:after="60"/>
      </w:pPr>
      <w:r>
        <w:t xml:space="preserve">OPEN WEB APPLICATION SECURITY PROJECT (OWASP). </w:t>
      </w:r>
      <w:r>
        <w:rPr>
          <w:i/>
        </w:rPr>
        <w:t>Software Assurance Maturity Model (SAMM) Version 2.0</w:t>
      </w:r>
      <w:r>
        <w:t>. OWASP Foundation, 2020–2024. Disponível em: &lt;https://owaspsamm.org&gt;. Acesso em: 21 jul. 2026.</w:t>
      </w:r>
    </w:p>
    <w:p>
      <w:pPr>
        <w:pStyle w:val="ListBullet"/>
        <w:spacing w:after="60"/>
      </w:pPr>
      <w:r>
        <w:t xml:space="preserve">PALO ALTO NETWORKS. </w:t>
      </w:r>
      <w:r>
        <w:rPr>
          <w:i/>
        </w:rPr>
        <w:t>Prisma Cloud Technical Documentation: Application Security Posture Management</w:t>
      </w:r>
      <w:r>
        <w:t>. Santa Clara: Palo Alto Networks, 2024–2026. Disponível em: &lt;https://www.paloaltonetworks.com/prisma/cloud&gt;. Acesso em: 21 jul. 2026.</w:t>
      </w:r>
    </w:p>
    <w:p>
      <w:pPr>
        <w:pStyle w:val="ListBullet"/>
        <w:spacing w:after="60"/>
      </w:pPr>
      <w:r>
        <w:t xml:space="preserve">WIZ. </w:t>
      </w:r>
      <w:r>
        <w:rPr>
          <w:i/>
        </w:rPr>
        <w:t>The State of Cloud Security 2024: Code-to-Cloud Risk Analysis</w:t>
      </w:r>
      <w:r>
        <w:t>. New York: Wiz Inc., 2024. Disponível em: &lt;https://www.wiz.io&gt;. Acesso em: 21 jul.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