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ECEA" w14:textId="4F37B8ED" w:rsidR="008E1DE5" w:rsidRPr="00327154" w:rsidRDefault="00327154">
      <w:pPr>
        <w:rPr>
          <w:sz w:val="44"/>
          <w:szCs w:val="44"/>
        </w:rPr>
      </w:pPr>
      <w:r w:rsidRPr="00327154">
        <w:rPr>
          <w:sz w:val="44"/>
          <w:szCs w:val="44"/>
        </w:rPr>
        <w:t xml:space="preserve">Igor Anthony De Jesus Maciel </w:t>
      </w:r>
      <w:r w:rsidRPr="00327154">
        <w:rPr>
          <w:color w:val="FF0000"/>
          <w:sz w:val="44"/>
          <w:szCs w:val="44"/>
        </w:rPr>
        <w:t>RA:</w:t>
      </w:r>
      <w:r w:rsidRPr="00327154">
        <w:rPr>
          <w:sz w:val="44"/>
          <w:szCs w:val="44"/>
        </w:rPr>
        <w:t xml:space="preserve"> 01232107</w:t>
      </w:r>
    </w:p>
    <w:p w14:paraId="46543D98" w14:textId="175B83EE" w:rsidR="00327154" w:rsidRPr="00327154" w:rsidRDefault="00327154" w:rsidP="00327154">
      <w:pPr>
        <w:jc w:val="center"/>
        <w:rPr>
          <w:sz w:val="48"/>
          <w:szCs w:val="48"/>
        </w:rPr>
      </w:pPr>
      <w:r>
        <w:rPr>
          <w:sz w:val="48"/>
          <w:szCs w:val="48"/>
        </w:rPr>
        <w:t>Governança de TI</w:t>
      </w:r>
    </w:p>
    <w:p w14:paraId="2A6D11A5" w14:textId="0C1B88CB" w:rsidR="00327154" w:rsidRPr="00327154" w:rsidRDefault="00327154" w:rsidP="00327154">
      <w:pPr>
        <w:rPr>
          <w:sz w:val="36"/>
          <w:szCs w:val="36"/>
        </w:rPr>
      </w:pPr>
      <w:r w:rsidRPr="00327154">
        <w:rPr>
          <w:sz w:val="36"/>
          <w:szCs w:val="36"/>
        </w:rPr>
        <w:t>O Instituto Nacional do Seguro Social (INSS) enfrentou desafios de governança de TI devido à utilização de sistemas desatualizados e incompatíveis, o que resultou em obstáculos para o processamento eficaz dos benefícios previdenciários. A ausência de investimentos em modernização tecnológica agravou a lacuna na governança.</w:t>
      </w:r>
    </w:p>
    <w:p w14:paraId="0C06F60B" w14:textId="5A4E623C" w:rsidR="00327154" w:rsidRPr="00327154" w:rsidRDefault="00327154" w:rsidP="00327154">
      <w:pPr>
        <w:rPr>
          <w:sz w:val="36"/>
          <w:szCs w:val="36"/>
        </w:rPr>
      </w:pPr>
      <w:r w:rsidRPr="00327154">
        <w:rPr>
          <w:sz w:val="36"/>
          <w:szCs w:val="36"/>
        </w:rPr>
        <w:t>Além disso, o INSS estava atrasado na digitalização de seus serviços, levando a um acúmulo considerável de solicitações de benefícios em formato físico. A ausência de uma estratégia eficiente de digitalização prejudicou a eficácia e a agilidade dos serviços prestados.</w:t>
      </w:r>
    </w:p>
    <w:p w14:paraId="26B71FDF" w14:textId="77777777" w:rsidR="00327154" w:rsidRDefault="00327154" w:rsidP="00327154">
      <w:pPr>
        <w:rPr>
          <w:sz w:val="36"/>
          <w:szCs w:val="36"/>
        </w:rPr>
      </w:pPr>
      <w:r w:rsidRPr="00327154">
        <w:rPr>
          <w:sz w:val="36"/>
          <w:szCs w:val="36"/>
        </w:rPr>
        <w:t>Durante a pandemia de COVID-19, a instituição enfrentou dificuldades em lidar com o aumento acentuado na demanda por benefícios. A falta de capacidade de resposta adequada resultou em atrasos significativos e na formação de extensas filas de espera.</w:t>
      </w:r>
    </w:p>
    <w:p w14:paraId="60448263" w14:textId="520F0EC9" w:rsidR="00327154" w:rsidRPr="00327154" w:rsidRDefault="00327154" w:rsidP="00327154">
      <w:pPr>
        <w:rPr>
          <w:b/>
          <w:bCs/>
          <w:color w:val="FF0000"/>
          <w:sz w:val="44"/>
          <w:szCs w:val="44"/>
        </w:rPr>
      </w:pPr>
      <w:r w:rsidRPr="00327154">
        <w:rPr>
          <w:b/>
          <w:bCs/>
          <w:color w:val="FF0000"/>
          <w:sz w:val="44"/>
          <w:szCs w:val="44"/>
        </w:rPr>
        <w:t>Impactos gerados:</w:t>
      </w:r>
    </w:p>
    <w:p w14:paraId="6A3E155D" w14:textId="128C682C" w:rsidR="00327154" w:rsidRPr="00327154" w:rsidRDefault="00327154">
      <w:pPr>
        <w:rPr>
          <w:sz w:val="36"/>
          <w:szCs w:val="36"/>
        </w:rPr>
      </w:pPr>
      <w:r>
        <w:rPr>
          <w:sz w:val="36"/>
          <w:szCs w:val="36"/>
        </w:rPr>
        <w:t>Atrasos nos benefícios</w:t>
      </w:r>
    </w:p>
    <w:p w14:paraId="60E6F4F1" w14:textId="77777777" w:rsidR="00327154" w:rsidRDefault="00327154">
      <w:pPr>
        <w:rPr>
          <w:sz w:val="36"/>
          <w:szCs w:val="36"/>
        </w:rPr>
      </w:pPr>
      <w:r w:rsidRPr="00327154">
        <w:rPr>
          <w:sz w:val="36"/>
          <w:szCs w:val="36"/>
        </w:rPr>
        <w:t>Reclamações e Insatisfação Pública</w:t>
      </w:r>
    </w:p>
    <w:p w14:paraId="31F0C3B1" w14:textId="6DBC03B4" w:rsidR="00327154" w:rsidRPr="00327154" w:rsidRDefault="00327154">
      <w:pPr>
        <w:rPr>
          <w:sz w:val="36"/>
          <w:szCs w:val="36"/>
        </w:rPr>
      </w:pPr>
      <w:r w:rsidRPr="00327154">
        <w:rPr>
          <w:sz w:val="36"/>
          <w:szCs w:val="36"/>
        </w:rPr>
        <w:t>Ações Judiciais e Sanções</w:t>
      </w:r>
    </w:p>
    <w:p w14:paraId="726767E6" w14:textId="5F2E6C45" w:rsidR="00327154" w:rsidRPr="00327154" w:rsidRDefault="00327154" w:rsidP="00327154">
      <w:pPr>
        <w:rPr>
          <w:sz w:val="36"/>
          <w:szCs w:val="36"/>
        </w:rPr>
      </w:pPr>
      <w:r w:rsidRPr="00327154">
        <w:rPr>
          <w:sz w:val="36"/>
          <w:szCs w:val="36"/>
        </w:rPr>
        <w:t>Pressão Política e Mídia</w:t>
      </w:r>
    </w:p>
    <w:sectPr w:rsidR="00327154" w:rsidRPr="0032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54"/>
    <w:rsid w:val="00327154"/>
    <w:rsid w:val="008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D888"/>
  <w15:chartTrackingRefBased/>
  <w15:docId w15:val="{B7BB09A6-6524-46B3-9C00-ACAB5A96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2023-11-03T20:15:00Z</dcterms:created>
  <dcterms:modified xsi:type="dcterms:W3CDTF">2023-11-03T20:23:00Z</dcterms:modified>
</cp:coreProperties>
</file>