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Projeto de bloco: </w:t>
      </w:r>
      <w:r w:rsidDel="00000000" w:rsidR="00000000" w:rsidRPr="00000000">
        <w:rPr>
          <w:sz w:val="48"/>
          <w:szCs w:val="48"/>
          <w:rtl w:val="0"/>
        </w:rPr>
        <w:t xml:space="preserve">Ciência de Dados Aplicada</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TP1</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Igor F. Canelo</w:t>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Exercício 1 -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Definição do Problema de Negócio:</w:t>
      </w:r>
    </w:p>
    <w:p w:rsidR="00000000" w:rsidDel="00000000" w:rsidP="00000000" w:rsidRDefault="00000000" w:rsidRPr="00000000" w14:paraId="0000000B">
      <w:pPr>
        <w:rPr/>
      </w:pPr>
      <w:r w:rsidDel="00000000" w:rsidR="00000000" w:rsidRPr="00000000">
        <w:rPr>
          <w:rtl w:val="0"/>
        </w:rPr>
        <w:t xml:space="preserve">No Brasil, muitos investidores, especialmente aqueles com pouca ou nenhuma experiência no mercado financeiro, enfrentam dificuldades ao escolher fundos imobiliários (FIIs) que possam oferecer um retorno satisfatório. A falta de conhecimento e de ferramentas adequadas para analisar os diversos fundos disponíveis pode levar a decisões mal-informadas, resultando em perdas financeiras ou rendimentos abaixo do potencial. O problema que nossa aplicação se propõe a resolver é a falta de orientação e suporte acessível para esses investidores, ajudando-os a tomar decisões mais informadas e seguras, maximizando seus ganhos e otimizando o tempo dedicado ao processo de investimento.</w:t>
      </w:r>
    </w:p>
    <w:p w:rsidR="00000000" w:rsidDel="00000000" w:rsidP="00000000" w:rsidRDefault="00000000" w:rsidRPr="00000000" w14:paraId="0000000C">
      <w:pPr>
        <w:rPr/>
      </w:pPr>
      <w:r w:rsidDel="00000000" w:rsidR="00000000" w:rsidRPr="00000000">
        <w:rPr>
          <w:rtl w:val="0"/>
        </w:rPr>
        <w:t xml:space="preserve">Metas e Indicadores de Sucesso:</w:t>
      </w:r>
    </w:p>
    <w:p w:rsidR="00000000" w:rsidDel="00000000" w:rsidP="00000000" w:rsidRDefault="00000000" w:rsidRPr="00000000" w14:paraId="0000000D">
      <w:pPr>
        <w:rPr/>
      </w:pPr>
      <w:r w:rsidDel="00000000" w:rsidR="00000000" w:rsidRPr="00000000">
        <w:rPr>
          <w:rtl w:val="0"/>
        </w:rPr>
        <w:t xml:space="preserve">A principal meta deste projeto é desenvolver uma aplicação capaz de recomendar FIIs adequados para investidores iniciantes, considerando seus perfis de risco, objetivos financeiros, e necessidades de liquidez. Os indicadores de sucesso incluem: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Acurácia das Recomendações: Medida pela porcentagem de investidores que relatam satisfação com os FIIs recomendados após um período de investimento.</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Aumento de Retorno sobre Investimento (ROI): Comparação entre o ROI dos usuários antes e depois do uso da aplicação.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Engajamento dos Usuários: Avaliado pelo tempo médio de uso da aplicação, número de acessos recorrentes, e feedbacks positivos.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Redução no Tempo de Decisão: Medida pelo tempo médio que os usuários levam para escolher um FII após utilizar a aplicação.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ODS Atendida:</w:t>
      </w:r>
    </w:p>
    <w:p w:rsidR="00000000" w:rsidDel="00000000" w:rsidP="00000000" w:rsidRDefault="00000000" w:rsidRPr="00000000" w14:paraId="00000015">
      <w:pPr>
        <w:rPr/>
      </w:pPr>
      <w:r w:rsidDel="00000000" w:rsidR="00000000" w:rsidRPr="00000000">
        <w:rPr>
          <w:rtl w:val="0"/>
        </w:rPr>
        <w:t xml:space="preserve">Este projeto atende ao Objetivo de Desenvolvimento Sustentável (ODS) 8: "Trabalho Decente e Crescimento Econômico". Através da promoção de educação financeira e do acesso a ferramentas de investimento eficientes, o projeto busca aumentar a produtividade e os ganhos financeiros dos pequenos investidores, contribuindo para o crescimento econômico sustentável. Ao capacitar investidores com conhecimento limitado a tomar decisões financeiras informadas, o projeto promove uma economia mais inclusiva e resiliente.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Público-Alvo:</w:t>
      </w:r>
    </w:p>
    <w:p w:rsidR="00000000" w:rsidDel="00000000" w:rsidP="00000000" w:rsidRDefault="00000000" w:rsidRPr="00000000" w14:paraId="00000018">
      <w:pPr>
        <w:rPr/>
      </w:pPr>
      <w:r w:rsidDel="00000000" w:rsidR="00000000" w:rsidRPr="00000000">
        <w:rPr>
          <w:rtl w:val="0"/>
        </w:rPr>
        <w:t xml:space="preserve">O público-alvo da aplicação são investidores brasileiros com pouca ou nenhuma experiência em investimentos, incluindo jovens adultos que estão iniciando sua jornada financeira, pessoas que buscam uma renda passiva através de FIIs, e qualquer pessoa interessada em melhorar seus ganhos financeiros sem precisar se tornar um especialista em investimentos.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Exercício 2 -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spacing w:after="240" w:lineRule="auto"/>
        <w:rPr/>
      </w:pPr>
      <w:r w:rsidDel="00000000" w:rsidR="00000000" w:rsidRPr="00000000">
        <w:rPr>
          <w:rtl w:val="0"/>
        </w:rPr>
        <w:t xml:space="preserve">O CRISP-DM é dividido em seis fases principais:</w:t>
      </w:r>
    </w:p>
    <w:p w:rsidR="00000000" w:rsidDel="00000000" w:rsidP="00000000" w:rsidRDefault="00000000" w:rsidRPr="00000000" w14:paraId="0000001E">
      <w:pPr>
        <w:numPr>
          <w:ilvl w:val="0"/>
          <w:numId w:val="2"/>
        </w:numPr>
        <w:spacing w:after="0" w:afterAutospacing="0" w:before="240" w:lineRule="auto"/>
        <w:ind w:left="1440" w:hanging="360"/>
        <w:rPr/>
      </w:pPr>
      <w:r w:rsidDel="00000000" w:rsidR="00000000" w:rsidRPr="00000000">
        <w:rPr>
          <w:rtl w:val="0"/>
        </w:rPr>
        <w:t xml:space="preserve">Entendimento do negócio</w:t>
      </w:r>
    </w:p>
    <w:p w:rsidR="00000000" w:rsidDel="00000000" w:rsidP="00000000" w:rsidRDefault="00000000" w:rsidRPr="00000000" w14:paraId="0000001F">
      <w:pPr>
        <w:numPr>
          <w:ilvl w:val="0"/>
          <w:numId w:val="2"/>
        </w:numPr>
        <w:spacing w:after="0" w:afterAutospacing="0" w:before="0" w:beforeAutospacing="0" w:lineRule="auto"/>
        <w:ind w:left="1440" w:hanging="360"/>
        <w:rPr/>
      </w:pPr>
      <w:r w:rsidDel="00000000" w:rsidR="00000000" w:rsidRPr="00000000">
        <w:rPr>
          <w:rtl w:val="0"/>
        </w:rPr>
        <w:t xml:space="preserve">Entendimento dos dados</w:t>
      </w:r>
    </w:p>
    <w:p w:rsidR="00000000" w:rsidDel="00000000" w:rsidP="00000000" w:rsidRDefault="00000000" w:rsidRPr="00000000" w14:paraId="00000020">
      <w:pPr>
        <w:numPr>
          <w:ilvl w:val="0"/>
          <w:numId w:val="2"/>
        </w:numPr>
        <w:spacing w:after="0" w:afterAutospacing="0" w:before="0" w:beforeAutospacing="0" w:lineRule="auto"/>
        <w:ind w:left="1440" w:hanging="360"/>
        <w:rPr/>
      </w:pPr>
      <w:r w:rsidDel="00000000" w:rsidR="00000000" w:rsidRPr="00000000">
        <w:rPr>
          <w:rtl w:val="0"/>
        </w:rPr>
        <w:t xml:space="preserve">Preparação dos dados</w:t>
      </w:r>
    </w:p>
    <w:p w:rsidR="00000000" w:rsidDel="00000000" w:rsidP="00000000" w:rsidRDefault="00000000" w:rsidRPr="00000000" w14:paraId="00000021">
      <w:pPr>
        <w:numPr>
          <w:ilvl w:val="0"/>
          <w:numId w:val="2"/>
        </w:numPr>
        <w:spacing w:after="0" w:afterAutospacing="0" w:before="0" w:beforeAutospacing="0" w:lineRule="auto"/>
        <w:ind w:left="1440" w:hanging="360"/>
        <w:rPr/>
      </w:pPr>
      <w:r w:rsidDel="00000000" w:rsidR="00000000" w:rsidRPr="00000000">
        <w:rPr>
          <w:rtl w:val="0"/>
        </w:rPr>
        <w:t xml:space="preserve">Modelagem</w:t>
      </w:r>
    </w:p>
    <w:p w:rsidR="00000000" w:rsidDel="00000000" w:rsidP="00000000" w:rsidRDefault="00000000" w:rsidRPr="00000000" w14:paraId="00000022">
      <w:pPr>
        <w:numPr>
          <w:ilvl w:val="0"/>
          <w:numId w:val="2"/>
        </w:numPr>
        <w:spacing w:after="0" w:afterAutospacing="0" w:before="0" w:beforeAutospacing="0" w:lineRule="auto"/>
        <w:ind w:left="1440" w:hanging="360"/>
        <w:rPr/>
      </w:pPr>
      <w:r w:rsidDel="00000000" w:rsidR="00000000" w:rsidRPr="00000000">
        <w:rPr>
          <w:rtl w:val="0"/>
        </w:rPr>
        <w:t xml:space="preserve">Avaliação</w:t>
      </w:r>
    </w:p>
    <w:p w:rsidR="00000000" w:rsidDel="00000000" w:rsidP="00000000" w:rsidRDefault="00000000" w:rsidRPr="00000000" w14:paraId="00000023">
      <w:pPr>
        <w:numPr>
          <w:ilvl w:val="0"/>
          <w:numId w:val="2"/>
        </w:numPr>
        <w:spacing w:after="240" w:before="0" w:beforeAutospacing="0" w:lineRule="auto"/>
        <w:ind w:left="1440" w:hanging="360"/>
        <w:rPr/>
      </w:pPr>
      <w:r w:rsidDel="00000000" w:rsidR="00000000" w:rsidRPr="00000000">
        <w:rPr>
          <w:rtl w:val="0"/>
        </w:rPr>
        <w:t xml:space="preserve">Implantação</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No momento a fase que estou é o entendimento e preparação dos dados.</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O TDSP fornece uma estrutura detalhada para gerenciar projetos de ciência de dados em equipe, garantindo que todas as etapas, desde o planejamento até a manutenção, sejam executadas de forma organizada e eficiente. As etapas do TDSP se relacionam com o produto de recomendação de FIIs da seguinte forma:</w:t>
      </w:r>
    </w:p>
    <w:p w:rsidR="00000000" w:rsidDel="00000000" w:rsidP="00000000" w:rsidRDefault="00000000" w:rsidRPr="00000000" w14:paraId="00000026">
      <w:pPr>
        <w:numPr>
          <w:ilvl w:val="0"/>
          <w:numId w:val="3"/>
        </w:numPr>
        <w:spacing w:after="0" w:afterAutospacing="0" w:before="240" w:lineRule="auto"/>
        <w:ind w:left="720" w:hanging="360"/>
        <w:rPr/>
      </w:pPr>
      <w:r w:rsidDel="00000000" w:rsidR="00000000" w:rsidRPr="00000000">
        <w:rPr>
          <w:rtl w:val="0"/>
        </w:rPr>
        <w:t xml:space="preserve">Planejamento: Define os objetivos do produto, como melhorar o ROI dos investidores iniciantes, e estabelece as métricas de sucesso e responsabilidades da equipe.</w:t>
      </w:r>
    </w:p>
    <w:p w:rsidR="00000000" w:rsidDel="00000000" w:rsidP="00000000" w:rsidRDefault="00000000" w:rsidRPr="00000000" w14:paraId="00000027">
      <w:pPr>
        <w:numPr>
          <w:ilvl w:val="0"/>
          <w:numId w:val="3"/>
        </w:numPr>
        <w:spacing w:after="0" w:afterAutospacing="0" w:before="0" w:beforeAutospacing="0" w:lineRule="auto"/>
        <w:ind w:left="720" w:hanging="360"/>
        <w:rPr/>
      </w:pPr>
      <w:r w:rsidDel="00000000" w:rsidR="00000000" w:rsidRPr="00000000">
        <w:rPr>
          <w:rtl w:val="0"/>
        </w:rPr>
        <w:t xml:space="preserve">Coleta e Entendimento dos Dados: Envolve a obtenção e análise dos dados dos </w:t>
      </w:r>
      <w:r w:rsidDel="00000000" w:rsidR="00000000" w:rsidRPr="00000000">
        <w:rPr>
          <w:rtl w:val="0"/>
        </w:rPr>
        <w:t xml:space="preserve">FII’s</w:t>
      </w:r>
      <w:r w:rsidDel="00000000" w:rsidR="00000000" w:rsidRPr="00000000">
        <w:rPr>
          <w:rtl w:val="0"/>
        </w:rPr>
        <w:t xml:space="preserve"> e perfis dos investidores, garantindo que sejam de alta qualidade e compreendidos por todos.</w:t>
      </w:r>
    </w:p>
    <w:p w:rsidR="00000000" w:rsidDel="00000000" w:rsidP="00000000" w:rsidRDefault="00000000" w:rsidRPr="00000000" w14:paraId="00000028">
      <w:pPr>
        <w:numPr>
          <w:ilvl w:val="0"/>
          <w:numId w:val="3"/>
        </w:numPr>
        <w:spacing w:after="0" w:afterAutospacing="0" w:before="0" w:beforeAutospacing="0" w:lineRule="auto"/>
        <w:ind w:left="720" w:hanging="360"/>
        <w:rPr/>
      </w:pPr>
      <w:r w:rsidDel="00000000" w:rsidR="00000000" w:rsidRPr="00000000">
        <w:rPr>
          <w:rtl w:val="0"/>
        </w:rPr>
        <w:t xml:space="preserve">Desenvolvimento de Modelos: </w:t>
      </w:r>
      <w:r w:rsidDel="00000000" w:rsidR="00000000" w:rsidRPr="00000000">
        <w:rPr>
          <w:rtl w:val="0"/>
        </w:rPr>
        <w:t xml:space="preserve">Cria</w:t>
      </w:r>
      <w:r w:rsidDel="00000000" w:rsidR="00000000" w:rsidRPr="00000000">
        <w:rPr>
          <w:rtl w:val="0"/>
        </w:rPr>
        <w:t xml:space="preserve"> e </w:t>
      </w:r>
      <w:r w:rsidDel="00000000" w:rsidR="00000000" w:rsidRPr="00000000">
        <w:rPr>
          <w:rtl w:val="0"/>
        </w:rPr>
        <w:t xml:space="preserve">refina</w:t>
      </w:r>
      <w:r w:rsidDel="00000000" w:rsidR="00000000" w:rsidRPr="00000000">
        <w:rPr>
          <w:rtl w:val="0"/>
        </w:rPr>
        <w:t xml:space="preserve"> o modelo de recomendação, escolhendo algoritmos de machine learning que melhor atendam às necessidades dos investidores, e </w:t>
      </w:r>
      <w:r w:rsidDel="00000000" w:rsidR="00000000" w:rsidRPr="00000000">
        <w:rPr>
          <w:rtl w:val="0"/>
        </w:rPr>
        <w:t xml:space="preserve">garante</w:t>
      </w:r>
      <w:r w:rsidDel="00000000" w:rsidR="00000000" w:rsidRPr="00000000">
        <w:rPr>
          <w:rtl w:val="0"/>
        </w:rPr>
        <w:t xml:space="preserve"> que o modelo seja robusto e documentado.</w:t>
      </w:r>
    </w:p>
    <w:p w:rsidR="00000000" w:rsidDel="00000000" w:rsidP="00000000" w:rsidRDefault="00000000" w:rsidRPr="00000000" w14:paraId="00000029">
      <w:pPr>
        <w:numPr>
          <w:ilvl w:val="0"/>
          <w:numId w:val="3"/>
        </w:numPr>
        <w:spacing w:after="0" w:afterAutospacing="0" w:before="0" w:beforeAutospacing="0" w:lineRule="auto"/>
        <w:ind w:left="720" w:hanging="360"/>
        <w:rPr/>
      </w:pPr>
      <w:r w:rsidDel="00000000" w:rsidR="00000000" w:rsidRPr="00000000">
        <w:rPr>
          <w:rtl w:val="0"/>
        </w:rPr>
        <w:t xml:space="preserve">Implantação e Manutenção: Implementa o modelo na aplicação de recomendação, monitorando seu desempenho e realizando ajustes contínuos para garantir que ele continue relevante e eficaz.</w:t>
      </w:r>
    </w:p>
    <w:p w:rsidR="00000000" w:rsidDel="00000000" w:rsidP="00000000" w:rsidRDefault="00000000" w:rsidRPr="00000000" w14:paraId="0000002A">
      <w:pPr>
        <w:numPr>
          <w:ilvl w:val="0"/>
          <w:numId w:val="3"/>
        </w:numPr>
        <w:spacing w:after="240" w:before="0" w:beforeAutospacing="0" w:lineRule="auto"/>
        <w:ind w:left="720" w:hanging="360"/>
        <w:rPr/>
      </w:pPr>
      <w:r w:rsidDel="00000000" w:rsidR="00000000" w:rsidRPr="00000000">
        <w:rPr>
          <w:rtl w:val="0"/>
        </w:rPr>
        <w:t xml:space="preserve">Revisão Pós-Implementação: Avalia o impacto do modelo, coleta feedbacks dos usuários, e documenta lições aprendidas para melhorar futuras versões do produto.</w:t>
      </w:r>
    </w:p>
    <w:p w:rsidR="00000000" w:rsidDel="00000000" w:rsidP="00000000" w:rsidRDefault="00000000" w:rsidRPr="00000000" w14:paraId="0000002B">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