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</w:pPr>
      <w:r>
        <w:rPr>
          <w:rFonts w:ascii="Aptos Display" w:hAnsi="Aptos Display"/>
          <w:b/>
          <w:color w:val="000000"/>
          <w:sz w:val="36"/>
        </w:rPr>
        <w:t>Scalar on Function Uncertainty Equations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These equations define the 95% simultaneous confidence ribbon for the daily coefficient function and the percentile cluster-bootstrap confidence interval for each prespecified 10-day integrated contrast. The analysis used B = 999 season-stratified meteorological-unit cluster-bootstrap samples.</w:t>
      </w:r>
    </w:p>
    <w:p>
      <w:pPr>
        <w:pStyle w:val="Heading1"/>
      </w:pPr>
      <w:r>
        <w:t>Simultaneous confidence ribbon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For meteorological process p, beta-hat_p(t) is the coefficient estimated at lag t and beta-hat*_p(t) is the corresponding coefficient from bootstrap sample b. The bootstrap standard error at each lag is the standard deviation of the bootstrap coefficients:</w:t>
      </w:r>
    </w:p>
    <w:p>
      <w:pPr>
        <w:spacing w:before="60" w:after="140"/>
        <w:jc w:val="center"/>
      </w:pP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sty m:val="p"/>
              </m:rPr>
              <m:t>boot</m:t>
            </m:r>
            <m:r>
              <m:t>,p</m:t>
            </m:r>
          </m:sub>
        </m:sSub>
        <m:r>
          <m:t>(t)=</m:t>
        </m:r>
        <m:sSub>
          <m:e>
            <m:r>
              <m:rPr>
                <m:sty m:val="p"/>
              </m:rPr>
              <m:t>SD</m:t>
            </m:r>
          </m:e>
          <m:sub>
            <m:r>
              <m:t>b</m:t>
            </m:r>
          </m:sub>
        </m:sSub>
        <m:r>
          <m:t>{</m:t>
        </m:r>
        <m:sSubSup>
          <m:e>
            <m:limUpp>
              <m:e>
                <m:r>
                  <m:t>β</m:t>
                </m:r>
              </m:e>
              <m:lim>
                <m:r>
                  <m:t>^</m:t>
                </m:r>
              </m:lim>
            </m:limUpp>
          </m:e>
          <m:sub>
            <m:r>
              <m:t>p</m:t>
            </m:r>
          </m:sub>
          <m:sup>
            <m:r>
              <m:t>*(b)</m:t>
            </m:r>
          </m:sup>
        </m:sSubSup>
        <m:r>
          <m:t>(t)}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For each bootstrap sample, the largest absolute standardized deviation across the complete lag domain T = {-80, ..., -1} is:</w:t>
      </w:r>
    </w:p>
    <w:p>
      <w:pPr>
        <w:spacing w:before="60" w:after="140"/>
        <w:jc w:val="center"/>
      </w:pPr>
      <m:oMath>
        <m:sSub>
          <m:e>
            <m:r>
              <m:t>M</m:t>
            </m:r>
          </m:e>
          <m:sub>
            <m:r>
              <m:t>pb</m:t>
            </m:r>
          </m:sub>
        </m:sSub>
        <m:r>
          <m:t>=</m:t>
        </m:r>
        <m:limLow>
          <m:e>
            <m:r>
              <m:rPr>
                <m:sty m:val="p"/>
              </m:rPr>
              <m:t>max</m:t>
            </m:r>
          </m:e>
          <m:lim>
            <m:r>
              <m:t>t∈𝒯</m:t>
            </m:r>
          </m:lim>
        </m:limLow>
        <m:r>
          <m:t>|</m:t>
        </m:r>
        <m:f>
          <m:fPr>
            <m:type m:val="bar"/>
          </m:fPr>
          <m:num>
            <m:sSubSup>
              <m:e>
                <m:limUpp>
                  <m:e>
                    <m:r>
                      <m:t>β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p</m:t>
                </m:r>
              </m:sub>
              <m:sup>
                <m:r>
                  <m:t>*(b)</m:t>
                </m:r>
              </m:sup>
            </m:sSubSup>
            <m:r>
              <m:t>(t)−</m:t>
            </m:r>
            <m:sSub>
              <m:e>
                <m:limUpp>
                  <m:e>
                    <m:r>
                      <m:t>β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p</m:t>
                </m:r>
              </m:sub>
            </m:sSub>
            <m:r>
              <m:t>(t)</m:t>
            </m:r>
          </m:num>
          <m:den>
            <m:sSub>
              <m:e>
                <m:r>
                  <m:rPr>
                    <m:sty m:val="p"/>
                  </m:rPr>
                  <m:t>SE</m:t>
                </m:r>
              </m:e>
              <m:sub>
                <m:r>
                  <m:rPr>
                    <m:sty m:val="p"/>
                  </m:rPr>
                  <m:t>boot</m:t>
                </m:r>
                <m:r>
                  <m:t>,p</m:t>
                </m:r>
              </m:sub>
            </m:sSub>
            <m:r>
              <m:t>(t)</m:t>
            </m:r>
          </m:den>
        </m:f>
        <m:r>
          <m:t>|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simultaneous critical value is the 95th percentile of these bootstrap maximum deviations:</w:t>
      </w:r>
    </w:p>
    <w:p>
      <w:pPr>
        <w:spacing w:before="60" w:after="140"/>
        <w:jc w:val="center"/>
      </w:pPr>
      <m:oMath>
        <m:sSubSup>
          <m:e>
            <m:r>
              <m:t>c</m:t>
            </m:r>
          </m:e>
          <m:sub>
            <m:r>
              <m:t>p,0.95</m:t>
            </m:r>
          </m:sub>
          <m:sup>
            <m:r>
              <m:rPr>
                <m:sty m:val="p"/>
              </m:rPr>
              <m:t>max</m:t>
            </m:r>
          </m:sup>
        </m:sSubSup>
        <m:r>
          <m:t>=</m:t>
        </m:r>
        <m:sSub>
          <m:e>
            <m:r>
              <m:t>Q</m:t>
            </m:r>
          </m:e>
          <m:sub>
            <m:r>
              <m:t>0.95</m:t>
            </m:r>
          </m:sub>
        </m:sSub>
        <m:r>
          <m:t>(</m:t>
        </m:r>
        <m:sSub>
          <m:e>
            <m:r>
              <m:t>M</m:t>
            </m:r>
          </m:e>
          <m:sub>
            <m:r>
              <m:t>p1</m:t>
            </m:r>
          </m:sub>
        </m:sSub>
        <m:r>
          <m:t>,…,</m:t>
        </m:r>
        <m:sSub>
          <m:e>
            <m:r>
              <m:t>M</m:t>
            </m:r>
          </m:e>
          <m:sub>
            <m:r>
              <m:t>pB</m:t>
            </m:r>
          </m:sub>
        </m:sSub>
        <m:r>
          <m:t>)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lower and upper limits of the 95% simultaneous ribbon are therefore given by:</w:t>
      </w:r>
    </w:p>
    <w:p>
      <w:pPr>
        <w:spacing w:before="60" w:after="140"/>
        <w:jc w:val="center"/>
      </w:pPr>
      <m:oMath>
        <m:sSub>
          <m:e>
            <m:limUpp>
              <m:e>
                <m:r>
                  <m:t>β</m:t>
                </m:r>
              </m:e>
              <m:lim>
                <m:r>
                  <m:t>^</m:t>
                </m:r>
              </m:lim>
            </m:limUpp>
          </m:e>
          <m:sub>
            <m:r>
              <m:t>p</m:t>
            </m:r>
          </m:sub>
        </m:sSub>
        <m:r>
          <m:t>(t)±</m:t>
        </m:r>
        <m:sSubSup>
          <m:e>
            <m:r>
              <m:t>c</m:t>
            </m:r>
          </m:e>
          <m:sub>
            <m:r>
              <m:t>p,0.95</m:t>
            </m:r>
          </m:sub>
          <m:sup>
            <m:r>
              <m:rPr>
                <m:sty m:val="p"/>
              </m:rPr>
              <m:t>max</m:t>
            </m:r>
          </m:sup>
        </m:sSubSup>
        <m:sSub>
          <m:e>
            <m:r>
              <m:rPr>
                <m:sty m:val="p"/>
              </m:rPr>
              <m:t>SE</m:t>
            </m:r>
          </m:e>
          <m:sub>
            <m:r>
              <m:rPr>
                <m:sty m:val="p"/>
              </m:rPr>
              <m:t>boot</m:t>
            </m:r>
            <m:r>
              <m:t>,p</m:t>
            </m:r>
          </m:sub>
        </m:sSub>
        <m:r>
          <m:t>(t)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critical value is shared across the complete coefficient function, while the bootstrap standard error is calculated separately at each lag. The ribbon therefore changes width across the temporal domain. A region in which the complete ribbon lies above or below zero is distinguishable from zero under the simultaneous whole-curve criterion.</w:t>
      </w:r>
    </w:p>
    <w:p>
      <w:pPr>
        <w:pStyle w:val="Heading1"/>
        <w:pageBreakBefore/>
      </w:pPr>
      <w:r>
        <w:t>Integrated 10 day contrast</w:t>
      </w:r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For prespecified 10-day interval B_k, the integrated contrast is the sum of the estimated daily coefficients: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pk</m:t>
            </m:r>
          </m:sub>
        </m:sSub>
        <m: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>t∈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sub>
          <m:sup/>
          <m:e>
            <m:sSub>
              <m:e>
                <m:limUpp>
                  <m:e>
                    <m:r>
                      <m:t>β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p</m:t>
                </m:r>
              </m:sub>
            </m:sSub>
          </m:e>
        </m:nary>
        <m:r>
          <m:t>(t)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corresponding contrast is recalculated in every bootstrap sample:</w:t>
      </w:r>
    </w:p>
    <w:p>
      <w:pPr>
        <w:spacing w:before="60" w:after="140"/>
        <w:jc w:val="center"/>
      </w:pPr>
      <m:oMath>
        <m:sSubSup>
          <m:e>
            <m:r>
              <m:t>C</m:t>
            </m:r>
          </m:e>
          <m:sub>
            <m:r>
              <m:t>pk</m:t>
            </m:r>
          </m:sub>
          <m:sup>
            <m:r>
              <m:t>*(b)</m:t>
            </m:r>
          </m:sup>
        </m:sSubSup>
        <m:r>
          <m:t>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m:t>t∈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sub>
          <m:sup/>
          <m:e>
            <m:sSubSup>
              <m:e>
                <m:limUpp>
                  <m:e>
                    <m:r>
                      <m:t>β</m:t>
                    </m:r>
                  </m:e>
                  <m:lim>
                    <m:r>
                      <m:t>^</m:t>
                    </m:r>
                  </m:lim>
                </m:limUpp>
              </m:e>
              <m:sub>
                <m:r>
                  <m:t>p</m:t>
                </m:r>
              </m:sub>
              <m:sup>
                <m:r>
                  <m:t>*(b)</m:t>
                </m:r>
              </m:sup>
            </m:sSubSup>
          </m:e>
        </m:nary>
        <m:r>
          <m:t>(t)</m:t>
        </m:r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95% percentile cluster-bootstrap confidence interval is:</w:t>
      </w:r>
    </w:p>
    <w:p>
      <w:pPr>
        <w:spacing w:before="60" w:after="140"/>
        <w:jc w:val="center"/>
      </w:pPr>
      <m:oMath>
        <m:d>
          <m:dPr>
            <m:begChr m:val="["/>
            <m:sepChr m:val=""/>
            <m:endChr m:val="]"/>
          </m:dPr>
          <m:e>
            <m:sSub>
              <m:e>
                <m:r>
                  <m:t>Q</m:t>
                </m:r>
              </m:e>
              <m:sub>
                <m:r>
                  <m:t>0.025</m:t>
                </m:r>
              </m:sub>
            </m:sSub>
            <m:r>
              <m:t>(</m:t>
            </m:r>
            <m:sSubSup>
              <m:e>
                <m:r>
                  <m:t>C</m:t>
                </m:r>
              </m:e>
              <m:sub>
                <m:r>
                  <m:t>pk</m:t>
                </m:r>
              </m:sub>
              <m:sup>
                <m:r>
                  <m:t>*(1)</m:t>
                </m:r>
              </m:sup>
            </m:sSubSup>
            <m:r>
              <m:t>,</m:t>
            </m:r>
            <m:r>
              <m:t>…</m:t>
            </m:r>
            <m:r>
              <m:t>,</m:t>
            </m:r>
            <m:sSubSup>
              <m:e>
                <m:r>
                  <m:t>C</m:t>
                </m:r>
              </m:e>
              <m:sub>
                <m:r>
                  <m:t>pk</m:t>
                </m:r>
              </m:sub>
              <m:sup>
                <m:r>
                  <m:t>*(B)</m:t>
                </m:r>
              </m:sup>
            </m:sSubSup>
            <m:r>
              <m:t>)</m:t>
            </m:r>
            <m:r>
              <m:t>,</m:t>
            </m:r>
            <m:sSub>
              <m:e>
                <m:r>
                  <m:t>Q</m:t>
                </m:r>
              </m:e>
              <m:sub>
                <m:r>
                  <m:t>0.975</m:t>
                </m:r>
              </m:sub>
            </m:sSub>
            <m:r>
              <m:t>(</m:t>
            </m:r>
            <m:sSubSup>
              <m:e>
                <m:r>
                  <m:t>C</m:t>
                </m:r>
              </m:e>
              <m:sub>
                <m:r>
                  <m:t>pk</m:t>
                </m:r>
              </m:sub>
              <m:sup>
                <m:r>
                  <m:t>*(1)</m:t>
                </m:r>
              </m:sup>
            </m:sSubSup>
            <m:r>
              <m:t>,</m:t>
            </m:r>
            <m:r>
              <m:t>…</m:t>
            </m:r>
            <m:r>
              <m:t>,</m:t>
            </m:r>
            <m:sSubSup>
              <m:e>
                <m:r>
                  <m:t>C</m:t>
                </m:r>
              </m:e>
              <m:sub>
                <m:r>
                  <m:t>pk</m:t>
                </m:r>
              </m:sub>
              <m:sup>
                <m:r>
                  <m:t>*(B)</m:t>
                </m:r>
              </m:sup>
            </m:sSubSup>
            <m:r>
              <m:t>)</m:t>
            </m:r>
          </m:e>
        </m:d>
      </m:oMath>
    </w:p>
    <w:p>
      <w:pPr>
        <w:spacing w:after="120" w:line="259" w:lineRule="auto"/>
      </w:pPr>
      <w:r>
        <w:rPr>
          <w:rFonts w:ascii="Aptos" w:hAnsi="Aptos"/>
          <w:color w:val="000000"/>
          <w:sz w:val="21"/>
        </w:rPr>
        <w:t>The integrated contrast represents the estimated cumulative difference in damaged-grain percentage associated with a one-unit higher exposure on every day of the interval, conditional on growing season. If its confidence interval excludes zero, the model supports a nonzero cumulative association over that prespecified interval. This does not imply that every individual daily coefficient differs from zero.</w:t>
      </w:r>
    </w:p>
    <w:p>
      <w:pPr>
        <w:pStyle w:val="Heading1"/>
      </w:pPr>
      <w:r>
        <w:t>Interpretive distinction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The simultaneous ribbon evaluates the daily coefficient function while accounting for examination of the complete 80-day domain.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The integrated-contrast interval evaluates the cumulative association within one prespecified 10-day interval.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An integrated contrast can exclude zero even when the daily simultaneous ribbon includes zero because the contrast accumulates information across adjacent days.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