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Senior AI Systems Engineer (LLM Infrastructure, Cloud, Distributed Systems)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experience.  Philosophy: Production AI is about reliability and cost-predictability, not just prompt engineering.  Builds and ships production AI systems end-to-end, from architecture and implementation through rollout and iteration.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AI Systems / Infra: distributed debugging, reliability, observability (logs/metrics/traces), cost/latency tuning, incident-minded engineering</w:t>
      </w:r>
    </w:p>
    <w:p>
      <w:r>
        <w:t xml:space="preserve">• L7 traffic &amp; platform: API gateways, HTTP/2 concepts, service mesh fundamentals (Istio/Envoy), production hardening and rollout safety</w:t>
      </w:r>
    </w:p>
    <w:p>
      <w:r>
        <w:t xml:space="preserve">• Full-Stack Development: React Native (New Architecture, Fabric), Node.js, REST APIs, microservices, cloud-based systems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DevOps &amp; CI/CD: GitHub Actions, GCP Cloud Build, CircleCI, Azure DevOps, Gradle, containerization</w:t>
      </w:r>
    </w:p>
    <w:p>
      <w:r>
        <w:t xml:space="preserve">• Leadership: architecture reviews, code review, mentoring engineers, clear communication with engineers and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Featured Impact:  Built a semantic memory system using LanceDB that reduced context window 'forgetting' across 200+ autonomous agent turns.     Featured Impact:  Optimized LLM inference pipelines to maintain</w:t>
      </w:r>
    </w:p>
    <w:p>
      <w:r>
        <w:t xml:space="preserve">Led design and delivery of end-to-end AI features from prototype to production, including LLM-backed search, personalized recommendations, and conversational AI assistant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Tetrate Agent Router Service (TARS), cost-aware routing and 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