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Measurement protocol</w:t>
      </w:r>
    </w:p>
    <w:p>
      <w:r>
        <w:t>The sampling interval is 0.25 seconds. Each discharge trial lasts 20 seconds. The protocol requires three independent trials. Voltage is recorded in volts and time in seconds.</w:t>
      </w:r>
    </w:p>
    <w:p>
      <w:pPr>
        <w:pStyle w:val="Heading1"/>
      </w:pPr>
      <w:r>
        <w:t>Analysis protocol</w:t>
      </w:r>
    </w:p>
    <w:p>
      <w:r>
        <w:t>Exclude nonpositive voltage observations before taking logarithms. Fit logarithmic voltage against time using linear regression. Retain the immutable input version and the executed code hash with every analysis result.</w:t>
      </w:r>
    </w:p>
    <w:p>
      <w:pPr>
        <w:pStyle w:val="Heading1"/>
      </w:pPr>
      <w:r>
        <w:t>Reporting protocol</w:t>
      </w:r>
    </w:p>
    <w:p>
      <w:r>
        <w:t>Report the fitted time constant separately from the nominal time constant. Cite the source page for a theoretical statement. The protocol does not authorize invented measurements.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