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E393F" w14:textId="24EE98BD" w:rsidR="00FB6730" w:rsidRPr="000C7D78" w:rsidRDefault="00F53B07" w:rsidP="00F40C2F">
      <w:pPr>
        <w:jc w:val="center"/>
        <w:rPr>
          <w:rFonts w:asciiTheme="majorBidi" w:hAnsiTheme="majorBidi" w:cstheme="majorBidi"/>
          <w:b/>
          <w:sz w:val="32"/>
          <w:szCs w:val="32"/>
          <w:lang w:val="en-US"/>
        </w:rPr>
      </w:pPr>
      <w:r w:rsidRPr="000C7D78">
        <w:rPr>
          <w:rFonts w:asciiTheme="majorBidi" w:hAnsiTheme="majorBidi" w:cstheme="majorBidi"/>
          <w:b/>
          <w:sz w:val="32"/>
          <w:szCs w:val="32"/>
          <w:lang w:val="en-US"/>
        </w:rPr>
        <w:t>Ministry of Education and Research</w:t>
      </w:r>
      <w:r w:rsidR="00F40C2F" w:rsidRPr="000C7D78">
        <w:rPr>
          <w:rFonts w:asciiTheme="majorBidi" w:hAnsiTheme="majorBidi" w:cstheme="majorBidi"/>
          <w:b/>
          <w:sz w:val="32"/>
          <w:szCs w:val="32"/>
          <w:lang w:val="en-US"/>
        </w:rPr>
        <w:t xml:space="preserve"> </w:t>
      </w:r>
      <w:r w:rsidRPr="000C7D78">
        <w:rPr>
          <w:rFonts w:asciiTheme="majorBidi" w:hAnsiTheme="majorBidi" w:cstheme="majorBidi"/>
          <w:b/>
          <w:sz w:val="32"/>
          <w:szCs w:val="32"/>
          <w:lang w:val="en-US"/>
        </w:rPr>
        <w:t>of the Republic of Moldova</w:t>
      </w:r>
    </w:p>
    <w:p w14:paraId="02C5FE56" w14:textId="664C73BE" w:rsidR="00FB6730" w:rsidRPr="000C7D78" w:rsidRDefault="00F53B07" w:rsidP="00FB6730">
      <w:pPr>
        <w:jc w:val="center"/>
        <w:rPr>
          <w:rFonts w:asciiTheme="majorBidi" w:hAnsiTheme="majorBidi" w:cstheme="majorBidi"/>
          <w:b/>
          <w:sz w:val="32"/>
          <w:szCs w:val="32"/>
          <w:lang w:val="en-US"/>
        </w:rPr>
      </w:pPr>
      <w:r w:rsidRPr="000C7D78">
        <w:rPr>
          <w:rFonts w:asciiTheme="majorBidi" w:hAnsiTheme="majorBidi" w:cstheme="majorBidi"/>
          <w:b/>
          <w:sz w:val="32"/>
          <w:szCs w:val="32"/>
          <w:lang w:val="en-US"/>
        </w:rPr>
        <w:t>Technical University of Moldova</w:t>
      </w:r>
    </w:p>
    <w:p w14:paraId="2F6EB53D" w14:textId="77777777" w:rsidR="00F53B07" w:rsidRPr="000C7D78" w:rsidRDefault="00F53B07" w:rsidP="00FB6730">
      <w:pPr>
        <w:jc w:val="center"/>
        <w:rPr>
          <w:rFonts w:asciiTheme="majorBidi" w:hAnsiTheme="majorBidi" w:cstheme="majorBidi"/>
          <w:sz w:val="32"/>
          <w:szCs w:val="32"/>
          <w:lang w:val="en-US"/>
        </w:rPr>
      </w:pPr>
    </w:p>
    <w:p w14:paraId="63DA577A" w14:textId="4D157B3B" w:rsidR="00FB6730" w:rsidRPr="000C7D78" w:rsidRDefault="00F53B07" w:rsidP="00FB6730">
      <w:pPr>
        <w:jc w:val="center"/>
        <w:rPr>
          <w:rFonts w:asciiTheme="majorBidi" w:hAnsiTheme="majorBidi" w:cstheme="majorBidi"/>
          <w:b/>
          <w:sz w:val="32"/>
          <w:szCs w:val="32"/>
          <w:lang w:val="en-US"/>
        </w:rPr>
      </w:pPr>
      <w:r w:rsidRPr="000C7D78">
        <w:rPr>
          <w:rFonts w:asciiTheme="majorBidi" w:hAnsiTheme="majorBidi" w:cstheme="majorBidi"/>
          <w:b/>
          <w:sz w:val="32"/>
          <w:szCs w:val="32"/>
          <w:lang w:val="en-US"/>
        </w:rPr>
        <w:t>Faculty of Computers, Informatics and Microelectronics</w:t>
      </w:r>
    </w:p>
    <w:p w14:paraId="52EAD815" w14:textId="77777777" w:rsidR="00F53B07" w:rsidRPr="000C7D78" w:rsidRDefault="00F53B07" w:rsidP="00FB6730">
      <w:pPr>
        <w:jc w:val="center"/>
        <w:rPr>
          <w:rFonts w:asciiTheme="majorBidi" w:hAnsiTheme="majorBidi" w:cstheme="majorBidi"/>
          <w:sz w:val="40"/>
          <w:szCs w:val="40"/>
          <w:lang w:val="en-US"/>
        </w:rPr>
      </w:pPr>
    </w:p>
    <w:p w14:paraId="0F2649DA" w14:textId="0C37609F" w:rsidR="00FB6730" w:rsidRPr="000C7D78" w:rsidRDefault="00F53B07" w:rsidP="00FB6730">
      <w:pPr>
        <w:jc w:val="center"/>
        <w:rPr>
          <w:rFonts w:asciiTheme="majorBidi" w:hAnsiTheme="majorBidi" w:cstheme="majorBidi"/>
          <w:b/>
          <w:sz w:val="40"/>
          <w:szCs w:val="40"/>
          <w:lang w:val="en-US"/>
        </w:rPr>
      </w:pPr>
      <w:r w:rsidRPr="000C7D78">
        <w:rPr>
          <w:rFonts w:asciiTheme="majorBidi" w:hAnsiTheme="majorBidi" w:cstheme="majorBidi"/>
          <w:b/>
          <w:sz w:val="40"/>
          <w:szCs w:val="40"/>
          <w:lang w:val="en-US"/>
        </w:rPr>
        <w:t>Discipline: Exploratory Data Analysis</w:t>
      </w:r>
    </w:p>
    <w:p w14:paraId="7B5810FF" w14:textId="77777777" w:rsidR="00F53B07" w:rsidRPr="000C7D78" w:rsidRDefault="00F53B07" w:rsidP="00FB6730">
      <w:pPr>
        <w:jc w:val="center"/>
        <w:rPr>
          <w:rFonts w:asciiTheme="majorBidi" w:hAnsiTheme="majorBidi" w:cstheme="majorBidi"/>
          <w:sz w:val="40"/>
          <w:szCs w:val="40"/>
          <w:lang w:val="en-US"/>
        </w:rPr>
      </w:pPr>
    </w:p>
    <w:p w14:paraId="4AEBD68F" w14:textId="0A68E8AD" w:rsidR="00FB6730" w:rsidRPr="000C7D78" w:rsidRDefault="00FB6730" w:rsidP="00FB6730">
      <w:pPr>
        <w:jc w:val="center"/>
        <w:rPr>
          <w:rFonts w:asciiTheme="majorBidi" w:hAnsiTheme="majorBidi" w:cstheme="majorBidi"/>
          <w:b/>
          <w:sz w:val="96"/>
          <w:szCs w:val="96"/>
          <w:lang w:val="en-US"/>
        </w:rPr>
      </w:pPr>
      <w:r w:rsidRPr="000C7D78">
        <w:rPr>
          <w:rFonts w:asciiTheme="majorBidi" w:hAnsiTheme="majorBidi" w:cstheme="majorBidi"/>
          <w:b/>
          <w:sz w:val="96"/>
          <w:szCs w:val="96"/>
          <w:lang w:val="en-US"/>
        </w:rPr>
        <w:t>R</w:t>
      </w:r>
      <w:r w:rsidR="00F53B07" w:rsidRPr="000C7D78">
        <w:rPr>
          <w:rFonts w:asciiTheme="majorBidi" w:hAnsiTheme="majorBidi" w:cstheme="majorBidi"/>
          <w:b/>
          <w:sz w:val="96"/>
          <w:szCs w:val="96"/>
          <w:lang w:val="en-US"/>
        </w:rPr>
        <w:t>E</w:t>
      </w:r>
      <w:r w:rsidRPr="000C7D78">
        <w:rPr>
          <w:rFonts w:asciiTheme="majorBidi" w:hAnsiTheme="majorBidi" w:cstheme="majorBidi"/>
          <w:b/>
          <w:sz w:val="96"/>
          <w:szCs w:val="96"/>
          <w:lang w:val="en-US"/>
        </w:rPr>
        <w:t>PORT</w:t>
      </w:r>
    </w:p>
    <w:p w14:paraId="67C8FCF9" w14:textId="0ECE8983" w:rsidR="00FB6730" w:rsidRPr="000C7D78" w:rsidRDefault="00F53B07" w:rsidP="00417328">
      <w:pPr>
        <w:jc w:val="center"/>
        <w:rPr>
          <w:rFonts w:asciiTheme="majorBidi" w:hAnsiTheme="majorBidi" w:cstheme="majorBidi"/>
          <w:sz w:val="36"/>
          <w:szCs w:val="36"/>
          <w:lang w:val="en-US"/>
        </w:rPr>
      </w:pPr>
      <w:r w:rsidRPr="000C7D78">
        <w:rPr>
          <w:rFonts w:asciiTheme="majorBidi" w:hAnsiTheme="majorBidi" w:cstheme="majorBidi"/>
          <w:b/>
          <w:sz w:val="40"/>
          <w:szCs w:val="36"/>
          <w:lang w:val="en-US"/>
        </w:rPr>
        <w:t xml:space="preserve">Assignment </w:t>
      </w:r>
      <w:r w:rsidR="00417328" w:rsidRPr="000C7D78">
        <w:rPr>
          <w:rFonts w:asciiTheme="majorBidi" w:hAnsiTheme="majorBidi" w:cstheme="majorBidi"/>
          <w:b/>
          <w:sz w:val="40"/>
          <w:szCs w:val="36"/>
          <w:lang w:val="en-US"/>
        </w:rPr>
        <w:t>2</w:t>
      </w:r>
      <w:r w:rsidR="002A220D" w:rsidRPr="000C7D78">
        <w:rPr>
          <w:rFonts w:asciiTheme="majorBidi" w:hAnsiTheme="majorBidi" w:cstheme="majorBidi"/>
          <w:b/>
          <w:sz w:val="36"/>
          <w:szCs w:val="36"/>
          <w:lang w:val="en-US"/>
        </w:rPr>
        <w:t>:</w:t>
      </w:r>
      <w:r w:rsidR="002A220D" w:rsidRPr="000C7D78">
        <w:rPr>
          <w:rFonts w:asciiTheme="majorBidi" w:hAnsiTheme="majorBidi" w:cstheme="majorBidi"/>
          <w:sz w:val="36"/>
          <w:szCs w:val="36"/>
          <w:lang w:val="en-US"/>
        </w:rPr>
        <w:t xml:space="preserve"> </w:t>
      </w:r>
      <w:r w:rsidR="00417328" w:rsidRPr="000C7D78">
        <w:rPr>
          <w:rFonts w:asciiTheme="majorBidi" w:hAnsiTheme="majorBidi" w:cstheme="majorBidi"/>
          <w:sz w:val="36"/>
          <w:szCs w:val="36"/>
          <w:u w:val="single"/>
          <w:lang w:val="en-US"/>
        </w:rPr>
        <w:t>Modeling and Regression Analysis</w:t>
      </w:r>
    </w:p>
    <w:p w14:paraId="249DD877" w14:textId="77777777" w:rsidR="00FB6730" w:rsidRPr="000C7D78" w:rsidRDefault="00FB6730" w:rsidP="00FB6730">
      <w:pPr>
        <w:rPr>
          <w:rFonts w:asciiTheme="majorBidi" w:hAnsiTheme="majorBidi" w:cstheme="majorBidi"/>
          <w:sz w:val="36"/>
          <w:szCs w:val="36"/>
          <w:lang w:val="en-US"/>
        </w:rPr>
      </w:pPr>
    </w:p>
    <w:p w14:paraId="5686184F" w14:textId="79C58ED3" w:rsidR="00FB6730" w:rsidRPr="000C7D78" w:rsidRDefault="00D45677" w:rsidP="00FB6730">
      <w:pPr>
        <w:rPr>
          <w:rFonts w:asciiTheme="majorBidi" w:hAnsiTheme="majorBidi" w:cstheme="majorBidi"/>
          <w:sz w:val="32"/>
          <w:szCs w:val="36"/>
          <w:lang w:val="en-US"/>
        </w:rPr>
      </w:pPr>
      <w:r w:rsidRPr="000C7D78">
        <w:rPr>
          <w:rFonts w:asciiTheme="majorBidi" w:hAnsiTheme="majorBidi" w:cstheme="majorBidi"/>
          <w:sz w:val="32"/>
          <w:szCs w:val="36"/>
          <w:lang w:val="en-US"/>
        </w:rPr>
        <w:t>Performed by</w:t>
      </w:r>
      <w:r w:rsidR="00FB6730" w:rsidRPr="000C7D78">
        <w:rPr>
          <w:rFonts w:asciiTheme="majorBidi" w:hAnsiTheme="majorBidi" w:cstheme="majorBidi"/>
          <w:sz w:val="32"/>
          <w:szCs w:val="36"/>
          <w:lang w:val="en-US"/>
        </w:rPr>
        <w:t>:</w:t>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p>
    <w:p w14:paraId="715F68AF" w14:textId="21F8E986" w:rsidR="00FB6730" w:rsidRPr="000C7D78" w:rsidRDefault="00FB6730" w:rsidP="00FB6730">
      <w:pPr>
        <w:rPr>
          <w:rFonts w:asciiTheme="majorBidi" w:hAnsiTheme="majorBidi" w:cstheme="majorBidi"/>
          <w:sz w:val="32"/>
          <w:szCs w:val="36"/>
          <w:lang w:val="en-US"/>
        </w:rPr>
      </w:pPr>
      <w:r w:rsidRPr="000C7D78">
        <w:rPr>
          <w:rFonts w:asciiTheme="majorBidi" w:hAnsiTheme="majorBidi" w:cstheme="majorBidi"/>
          <w:sz w:val="32"/>
          <w:szCs w:val="36"/>
          <w:lang w:val="en-US"/>
        </w:rPr>
        <w:t xml:space="preserve">st. gr. </w:t>
      </w:r>
      <w:r w:rsidR="00ED621F" w:rsidRPr="000C7D78">
        <w:rPr>
          <w:rFonts w:asciiTheme="majorBidi" w:hAnsiTheme="majorBidi" w:cstheme="majorBidi"/>
          <w:sz w:val="32"/>
          <w:szCs w:val="36"/>
          <w:lang w:val="en-US"/>
        </w:rPr>
        <w:t>IS</w:t>
      </w:r>
      <w:r w:rsidRPr="000C7D78">
        <w:rPr>
          <w:rFonts w:asciiTheme="majorBidi" w:hAnsiTheme="majorBidi" w:cstheme="majorBidi"/>
          <w:sz w:val="32"/>
          <w:szCs w:val="36"/>
          <w:lang w:val="en-US"/>
        </w:rPr>
        <w:t>-</w:t>
      </w:r>
      <w:r w:rsidR="00ED621F" w:rsidRPr="000C7D78">
        <w:rPr>
          <w:rFonts w:asciiTheme="majorBidi" w:hAnsiTheme="majorBidi" w:cstheme="majorBidi"/>
          <w:sz w:val="32"/>
          <w:szCs w:val="36"/>
          <w:lang w:val="en-US"/>
        </w:rPr>
        <w:t>251-M</w:t>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t xml:space="preserve">   </w:t>
      </w:r>
      <w:r w:rsidR="00ED621F" w:rsidRPr="000C7D78">
        <w:rPr>
          <w:rFonts w:asciiTheme="majorBidi" w:hAnsiTheme="majorBidi" w:cstheme="majorBidi"/>
          <w:sz w:val="32"/>
          <w:szCs w:val="36"/>
          <w:lang w:val="en-US"/>
        </w:rPr>
        <w:t xml:space="preserve"> Igor Latii </w:t>
      </w:r>
      <w:r w:rsidRPr="000C7D78">
        <w:rPr>
          <w:rFonts w:asciiTheme="majorBidi" w:hAnsiTheme="majorBidi" w:cstheme="majorBidi"/>
          <w:sz w:val="32"/>
          <w:szCs w:val="36"/>
          <w:lang w:val="en-US"/>
        </w:rPr>
        <w:br/>
      </w:r>
    </w:p>
    <w:p w14:paraId="576E5701" w14:textId="342DEBA1" w:rsidR="00FB6730" w:rsidRPr="000C7D78" w:rsidRDefault="00B27E6C" w:rsidP="00FB6730">
      <w:pPr>
        <w:rPr>
          <w:rFonts w:asciiTheme="majorBidi" w:hAnsiTheme="majorBidi" w:cstheme="majorBidi"/>
          <w:sz w:val="32"/>
          <w:szCs w:val="36"/>
          <w:lang w:val="en-US"/>
        </w:rPr>
      </w:pPr>
      <w:r w:rsidRPr="000C7D78">
        <w:rPr>
          <w:rFonts w:asciiTheme="majorBidi" w:hAnsiTheme="majorBidi" w:cstheme="majorBidi"/>
          <w:sz w:val="32"/>
          <w:szCs w:val="36"/>
          <w:lang w:val="en-US"/>
        </w:rPr>
        <w:t>Verified by</w:t>
      </w:r>
      <w:r w:rsidR="00FB6730" w:rsidRPr="000C7D78">
        <w:rPr>
          <w:rFonts w:asciiTheme="majorBidi" w:hAnsiTheme="majorBidi" w:cstheme="majorBidi"/>
          <w:sz w:val="32"/>
          <w:szCs w:val="36"/>
          <w:lang w:val="en-US"/>
        </w:rPr>
        <w:t>:</w:t>
      </w:r>
      <w:r w:rsidR="00FB6730" w:rsidRPr="000C7D78">
        <w:rPr>
          <w:rFonts w:asciiTheme="majorBidi" w:hAnsiTheme="majorBidi" w:cstheme="majorBidi"/>
          <w:sz w:val="32"/>
          <w:szCs w:val="36"/>
          <w:lang w:val="en-US"/>
        </w:rPr>
        <w:tab/>
        <w:t xml:space="preserve">                                         </w:t>
      </w:r>
      <w:r w:rsidR="00FB6730" w:rsidRPr="000C7D78">
        <w:rPr>
          <w:rFonts w:asciiTheme="majorBidi" w:hAnsiTheme="majorBidi" w:cstheme="majorBidi"/>
          <w:sz w:val="32"/>
          <w:szCs w:val="36"/>
          <w:lang w:val="en-US"/>
        </w:rPr>
        <w:tab/>
      </w:r>
    </w:p>
    <w:p w14:paraId="3F0CB6C7" w14:textId="1433888B" w:rsidR="00FB6730" w:rsidRPr="000C7D78" w:rsidRDefault="004979DE" w:rsidP="00FB6730">
      <w:pPr>
        <w:rPr>
          <w:rFonts w:asciiTheme="majorBidi" w:hAnsiTheme="majorBidi" w:cstheme="majorBidi"/>
          <w:sz w:val="32"/>
          <w:szCs w:val="36"/>
          <w:lang w:val="en-US"/>
        </w:rPr>
      </w:pPr>
      <w:r w:rsidRPr="000C7D78">
        <w:rPr>
          <w:rFonts w:asciiTheme="majorBidi" w:hAnsiTheme="majorBidi" w:cstheme="majorBidi"/>
          <w:sz w:val="32"/>
          <w:szCs w:val="36"/>
          <w:lang w:val="en-US"/>
        </w:rPr>
        <w:t>l. univ</w:t>
      </w:r>
      <w:r w:rsidR="00FB6730" w:rsidRPr="000C7D78">
        <w:rPr>
          <w:rFonts w:asciiTheme="majorBidi" w:hAnsiTheme="majorBidi" w:cstheme="majorBidi"/>
          <w:sz w:val="32"/>
          <w:szCs w:val="36"/>
          <w:lang w:val="en-US"/>
        </w:rPr>
        <w:t>.</w:t>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t xml:space="preserve">                 </w:t>
      </w:r>
      <w:r w:rsidR="004D7664" w:rsidRPr="000C7D78">
        <w:rPr>
          <w:rFonts w:asciiTheme="majorBidi" w:hAnsiTheme="majorBidi" w:cstheme="majorBidi"/>
          <w:sz w:val="32"/>
          <w:szCs w:val="36"/>
          <w:lang w:val="en-US"/>
        </w:rPr>
        <w:t xml:space="preserve">    </w:t>
      </w:r>
      <w:r w:rsidR="00ED621F" w:rsidRPr="000C7D78">
        <w:rPr>
          <w:rFonts w:asciiTheme="majorBidi" w:hAnsiTheme="majorBidi" w:cstheme="majorBidi"/>
          <w:sz w:val="32"/>
          <w:szCs w:val="36"/>
          <w:lang w:val="en-US"/>
        </w:rPr>
        <w:t>Alexandru Monahov</w:t>
      </w:r>
    </w:p>
    <w:p w14:paraId="1200A92B" w14:textId="77777777" w:rsidR="00FB6730" w:rsidRPr="000C7D78" w:rsidRDefault="00FB6730" w:rsidP="00FB6730">
      <w:pPr>
        <w:jc w:val="center"/>
        <w:rPr>
          <w:rFonts w:asciiTheme="majorBidi" w:hAnsiTheme="majorBidi" w:cstheme="majorBidi"/>
          <w:sz w:val="36"/>
          <w:szCs w:val="36"/>
          <w:lang w:val="en-US"/>
        </w:rPr>
      </w:pPr>
    </w:p>
    <w:p w14:paraId="6BDD5D79" w14:textId="77777777" w:rsidR="00ED621F" w:rsidRPr="000C7D78" w:rsidRDefault="00ED621F" w:rsidP="00FB6730">
      <w:pPr>
        <w:jc w:val="center"/>
        <w:rPr>
          <w:rFonts w:asciiTheme="majorBidi" w:hAnsiTheme="majorBidi" w:cstheme="majorBidi"/>
          <w:sz w:val="36"/>
          <w:szCs w:val="36"/>
          <w:lang w:val="en-US"/>
        </w:rPr>
      </w:pPr>
    </w:p>
    <w:p w14:paraId="124A9F3C" w14:textId="77777777" w:rsidR="00ED621F" w:rsidRPr="000C7D78" w:rsidRDefault="00ED621F" w:rsidP="00FB6730">
      <w:pPr>
        <w:jc w:val="center"/>
        <w:rPr>
          <w:rFonts w:asciiTheme="majorBidi" w:hAnsiTheme="majorBidi" w:cstheme="majorBidi"/>
          <w:sz w:val="36"/>
          <w:szCs w:val="36"/>
          <w:lang w:val="en-US"/>
        </w:rPr>
      </w:pPr>
    </w:p>
    <w:p w14:paraId="3E441E18" w14:textId="77777777" w:rsidR="00ED621F" w:rsidRPr="000C7D78" w:rsidRDefault="00ED621F" w:rsidP="00FB6730">
      <w:pPr>
        <w:jc w:val="center"/>
        <w:rPr>
          <w:rFonts w:asciiTheme="majorBidi" w:hAnsiTheme="majorBidi" w:cstheme="majorBidi"/>
          <w:sz w:val="36"/>
          <w:szCs w:val="36"/>
          <w:lang w:val="en-US"/>
        </w:rPr>
      </w:pPr>
    </w:p>
    <w:p w14:paraId="200E17FF" w14:textId="77777777" w:rsidR="00F40C2F" w:rsidRPr="000C7D78" w:rsidRDefault="00F40C2F" w:rsidP="00FB6730">
      <w:pPr>
        <w:jc w:val="center"/>
        <w:rPr>
          <w:rFonts w:asciiTheme="majorBidi" w:hAnsiTheme="majorBidi" w:cstheme="majorBidi"/>
          <w:sz w:val="36"/>
          <w:szCs w:val="36"/>
          <w:lang w:val="en-US"/>
        </w:rPr>
      </w:pPr>
    </w:p>
    <w:p w14:paraId="4AA149CE" w14:textId="77777777" w:rsidR="00F40C2F" w:rsidRPr="000C7D78" w:rsidRDefault="00F40C2F" w:rsidP="00FB6730">
      <w:pPr>
        <w:jc w:val="center"/>
        <w:rPr>
          <w:rFonts w:asciiTheme="majorBidi" w:hAnsiTheme="majorBidi" w:cstheme="majorBidi"/>
          <w:sz w:val="36"/>
          <w:szCs w:val="36"/>
          <w:lang w:val="en-US"/>
        </w:rPr>
      </w:pPr>
    </w:p>
    <w:p w14:paraId="07626477" w14:textId="77777777" w:rsidR="00417328" w:rsidRPr="000C7D78" w:rsidRDefault="00417328" w:rsidP="00FB6730">
      <w:pPr>
        <w:jc w:val="center"/>
        <w:rPr>
          <w:rFonts w:asciiTheme="majorBidi" w:hAnsiTheme="majorBidi" w:cstheme="majorBidi"/>
          <w:sz w:val="36"/>
          <w:szCs w:val="36"/>
          <w:lang w:val="en-US"/>
        </w:rPr>
      </w:pPr>
    </w:p>
    <w:p w14:paraId="7E8A95BA" w14:textId="0B84D47D" w:rsidR="00FB6730" w:rsidRPr="000C7D78" w:rsidRDefault="00F40C2F" w:rsidP="00FB6730">
      <w:pPr>
        <w:jc w:val="center"/>
        <w:rPr>
          <w:rFonts w:asciiTheme="majorBidi" w:hAnsiTheme="majorBidi" w:cstheme="majorBidi"/>
          <w:b/>
          <w:sz w:val="24"/>
          <w:szCs w:val="28"/>
          <w:lang w:val="en-US"/>
        </w:rPr>
      </w:pPr>
      <w:r w:rsidRPr="000C7D78">
        <w:rPr>
          <w:rFonts w:asciiTheme="majorBidi" w:hAnsiTheme="majorBidi" w:cstheme="majorBidi"/>
          <w:sz w:val="32"/>
          <w:szCs w:val="36"/>
          <w:lang w:val="en-US"/>
        </w:rPr>
        <w:t>Chișinău</w:t>
      </w:r>
      <w:r w:rsidR="00FB6730" w:rsidRPr="000C7D78">
        <w:rPr>
          <w:rFonts w:asciiTheme="majorBidi" w:hAnsiTheme="majorBidi" w:cstheme="majorBidi"/>
          <w:sz w:val="32"/>
          <w:szCs w:val="36"/>
          <w:lang w:val="en-US"/>
        </w:rPr>
        <w:t xml:space="preserve"> - 202</w:t>
      </w:r>
      <w:r w:rsidR="00ED621F" w:rsidRPr="000C7D78">
        <w:rPr>
          <w:rFonts w:asciiTheme="majorBidi" w:hAnsiTheme="majorBidi" w:cstheme="majorBidi"/>
          <w:sz w:val="32"/>
          <w:szCs w:val="36"/>
          <w:lang w:val="en-US"/>
        </w:rPr>
        <w:t>5</w:t>
      </w:r>
    </w:p>
    <w:p w14:paraId="7BCA131C" w14:textId="77777777" w:rsidR="00F40C2F" w:rsidRPr="000C7D78" w:rsidRDefault="00F40C2F" w:rsidP="00437F20">
      <w:pPr>
        <w:pBdr>
          <w:top w:val="nil"/>
          <w:left w:val="nil"/>
          <w:bottom w:val="nil"/>
          <w:right w:val="nil"/>
          <w:between w:val="nil"/>
        </w:pBdr>
        <w:jc w:val="center"/>
        <w:rPr>
          <w:rFonts w:asciiTheme="majorBidi" w:hAnsiTheme="majorBidi" w:cstheme="majorBidi"/>
          <w:b/>
          <w:color w:val="000000"/>
          <w:sz w:val="28"/>
          <w:szCs w:val="24"/>
          <w:lang w:val="en-US"/>
        </w:rPr>
      </w:pPr>
    </w:p>
    <w:p w14:paraId="54528839" w14:textId="16C55C85" w:rsidR="00516D8D" w:rsidRPr="000C7D78" w:rsidRDefault="00437F20" w:rsidP="00437F20">
      <w:pPr>
        <w:pBdr>
          <w:top w:val="nil"/>
          <w:left w:val="nil"/>
          <w:bottom w:val="nil"/>
          <w:right w:val="nil"/>
          <w:between w:val="nil"/>
        </w:pBdr>
        <w:jc w:val="center"/>
        <w:rPr>
          <w:rFonts w:asciiTheme="majorBidi" w:hAnsiTheme="majorBidi" w:cstheme="majorBidi"/>
          <w:b/>
          <w:color w:val="EE0000"/>
          <w:sz w:val="24"/>
          <w:szCs w:val="24"/>
          <w:lang w:val="en-US"/>
        </w:rPr>
      </w:pPr>
      <w:r w:rsidRPr="000C7D78">
        <w:rPr>
          <w:rFonts w:asciiTheme="majorBidi" w:hAnsiTheme="majorBidi" w:cstheme="majorBidi"/>
          <w:b/>
          <w:color w:val="EE0000"/>
          <w:sz w:val="28"/>
          <w:szCs w:val="24"/>
          <w:lang w:val="en-US"/>
        </w:rPr>
        <w:lastRenderedPageBreak/>
        <w:t xml:space="preserve">Assignment </w:t>
      </w:r>
      <w:r w:rsidR="00417328" w:rsidRPr="000C7D78">
        <w:rPr>
          <w:rFonts w:asciiTheme="majorBidi" w:hAnsiTheme="majorBidi" w:cstheme="majorBidi"/>
          <w:b/>
          <w:color w:val="EE0000"/>
          <w:sz w:val="28"/>
          <w:szCs w:val="24"/>
          <w:lang w:val="en-US"/>
        </w:rPr>
        <w:t>2</w:t>
      </w:r>
      <w:r w:rsidRPr="000C7D78">
        <w:rPr>
          <w:rFonts w:asciiTheme="majorBidi" w:hAnsiTheme="majorBidi" w:cstheme="majorBidi"/>
          <w:b/>
          <w:color w:val="EE0000"/>
          <w:sz w:val="28"/>
          <w:szCs w:val="24"/>
          <w:lang w:val="en-US"/>
        </w:rPr>
        <w:t xml:space="preserve">: </w:t>
      </w:r>
      <w:r w:rsidR="00417328" w:rsidRPr="000C7D78">
        <w:rPr>
          <w:rFonts w:asciiTheme="majorBidi" w:hAnsiTheme="majorBidi" w:cstheme="majorBidi"/>
          <w:b/>
          <w:color w:val="EE0000"/>
          <w:sz w:val="28"/>
          <w:szCs w:val="24"/>
          <w:lang w:val="en-US"/>
        </w:rPr>
        <w:t>Modeling and Regression Analysis</w:t>
      </w:r>
    </w:p>
    <w:p w14:paraId="55DD5221" w14:textId="38D3BC27" w:rsidR="0051004F" w:rsidRPr="000C7D78" w:rsidRDefault="00564D65" w:rsidP="000D1E2A">
      <w:pPr>
        <w:pBdr>
          <w:top w:val="nil"/>
          <w:left w:val="nil"/>
          <w:bottom w:val="nil"/>
          <w:right w:val="nil"/>
          <w:between w:val="nil"/>
        </w:pBdr>
        <w:jc w:val="center"/>
        <w:rPr>
          <w:rFonts w:asciiTheme="majorBidi" w:hAnsiTheme="majorBidi" w:cstheme="majorBidi"/>
          <w:b/>
          <w:color w:val="EE0000"/>
          <w:sz w:val="24"/>
          <w:szCs w:val="24"/>
          <w:lang w:val="en-US"/>
        </w:rPr>
      </w:pPr>
      <w:r w:rsidRPr="000C7D78">
        <w:rPr>
          <w:rFonts w:asciiTheme="majorBidi" w:hAnsiTheme="majorBidi" w:cstheme="majorBidi"/>
          <w:b/>
          <w:color w:val="EE0000"/>
          <w:sz w:val="24"/>
          <w:szCs w:val="24"/>
          <w:lang w:val="en-US"/>
        </w:rPr>
        <w:t xml:space="preserve">Phase 1: </w:t>
      </w:r>
      <w:r w:rsidR="00417328" w:rsidRPr="000C7D78">
        <w:rPr>
          <w:rFonts w:asciiTheme="majorBidi" w:hAnsiTheme="majorBidi" w:cstheme="majorBidi"/>
          <w:b/>
          <w:color w:val="EE0000"/>
          <w:sz w:val="24"/>
          <w:szCs w:val="24"/>
          <w:lang w:val="en-US"/>
        </w:rPr>
        <w:t>Model Selection &amp; Feature Engineering</w:t>
      </w:r>
    </w:p>
    <w:p w14:paraId="3B315B8A" w14:textId="4DCC1786" w:rsidR="00467E5E" w:rsidRPr="000C7D78" w:rsidRDefault="00467E5E">
      <w:pPr>
        <w:pStyle w:val="a4"/>
        <w:numPr>
          <w:ilvl w:val="0"/>
          <w:numId w:val="2"/>
        </w:numPr>
        <w:tabs>
          <w:tab w:val="left" w:pos="284"/>
        </w:tabs>
        <w:spacing w:before="100" w:beforeAutospacing="1" w:after="100" w:afterAutospacing="1" w:line="240" w:lineRule="auto"/>
        <w:ind w:left="0" w:firstLine="0"/>
        <w:outlineLvl w:val="2"/>
        <w:rPr>
          <w:rFonts w:asciiTheme="majorBidi" w:eastAsia="Times New Roman" w:hAnsiTheme="majorBidi" w:cstheme="majorBidi"/>
          <w:b/>
          <w:bCs/>
          <w:sz w:val="27"/>
          <w:szCs w:val="27"/>
          <w:lang w:val="en-US" w:eastAsia="ru-MD"/>
        </w:rPr>
      </w:pPr>
      <w:r w:rsidRPr="000C7D78">
        <w:rPr>
          <w:rFonts w:asciiTheme="majorBidi" w:eastAsia="Times New Roman" w:hAnsiTheme="majorBidi" w:cstheme="majorBidi"/>
          <w:b/>
          <w:bCs/>
          <w:sz w:val="27"/>
          <w:szCs w:val="27"/>
          <w:lang w:val="en-US" w:eastAsia="ru-MD"/>
        </w:rPr>
        <w:t>Target Variable Selection</w:t>
      </w:r>
    </w:p>
    <w:p w14:paraId="0E1A1946" w14:textId="07B80F58" w:rsidR="005E4295" w:rsidRPr="00BC64AC" w:rsidRDefault="005E4295" w:rsidP="00BC64AC">
      <w:pPr>
        <w:spacing w:after="120" w:line="240" w:lineRule="auto"/>
        <w:jc w:val="both"/>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Three core macroeconomic indicators were selected as target variables for modeling:</w:t>
      </w:r>
    </w:p>
    <w:p w14:paraId="0D7643DC" w14:textId="77777777" w:rsidR="00BC64AC" w:rsidRPr="00BC64AC" w:rsidRDefault="00BC64AC">
      <w:pPr>
        <w:pStyle w:val="a4"/>
        <w:numPr>
          <w:ilvl w:val="0"/>
          <w:numId w:val="3"/>
        </w:numPr>
        <w:spacing w:after="120" w:line="240" w:lineRule="auto"/>
        <w:jc w:val="both"/>
        <w:rPr>
          <w:rFonts w:asciiTheme="majorBidi" w:eastAsia="Times New Roman" w:hAnsiTheme="majorBidi" w:cstheme="majorBidi"/>
          <w:sz w:val="24"/>
          <w:szCs w:val="24"/>
          <w:lang w:val="en-US" w:eastAsia="ru-MD"/>
        </w:rPr>
      </w:pPr>
      <w:r w:rsidRPr="00BC64AC">
        <w:rPr>
          <w:rFonts w:asciiTheme="majorBidi" w:eastAsia="Times New Roman" w:hAnsiTheme="majorBidi" w:cstheme="majorBidi"/>
          <w:sz w:val="24"/>
          <w:szCs w:val="24"/>
          <w:lang w:val="en-US" w:eastAsia="ru-MD"/>
        </w:rPr>
        <w:t>GDP growth (YoY) – the annualized percentage change in real GDP, measuring overall economic expansion or contraction and serving as a proxy for the business cycle.</w:t>
      </w:r>
    </w:p>
    <w:p w14:paraId="22553E7C" w14:textId="77777777" w:rsidR="00BC64AC" w:rsidRPr="00BC64AC" w:rsidRDefault="00BC64AC">
      <w:pPr>
        <w:pStyle w:val="a4"/>
        <w:numPr>
          <w:ilvl w:val="0"/>
          <w:numId w:val="3"/>
        </w:numPr>
        <w:spacing w:after="120" w:line="240" w:lineRule="auto"/>
        <w:jc w:val="both"/>
        <w:rPr>
          <w:rFonts w:asciiTheme="majorBidi" w:eastAsia="Times New Roman" w:hAnsiTheme="majorBidi" w:cstheme="majorBidi"/>
          <w:sz w:val="24"/>
          <w:szCs w:val="24"/>
          <w:lang w:val="en-US" w:eastAsia="ru-MD"/>
        </w:rPr>
      </w:pPr>
      <w:r w:rsidRPr="00BC64AC">
        <w:rPr>
          <w:rFonts w:asciiTheme="majorBidi" w:eastAsia="Times New Roman" w:hAnsiTheme="majorBidi" w:cstheme="majorBidi"/>
          <w:sz w:val="24"/>
          <w:szCs w:val="24"/>
          <w:lang w:val="en-US" w:eastAsia="ru-MD"/>
        </w:rPr>
        <w:t>Inflation rate (YoY, HICP) – the annual percentage change in consumer prices, capturing cost pressures and purchasing power dynamics.</w:t>
      </w:r>
    </w:p>
    <w:p w14:paraId="313BBE4B" w14:textId="42D2DA78" w:rsidR="00BC64AC" w:rsidRDefault="00BC64AC">
      <w:pPr>
        <w:pStyle w:val="a4"/>
        <w:numPr>
          <w:ilvl w:val="0"/>
          <w:numId w:val="3"/>
        </w:numPr>
        <w:spacing w:after="120" w:line="240" w:lineRule="auto"/>
        <w:jc w:val="both"/>
        <w:rPr>
          <w:rFonts w:asciiTheme="majorBidi" w:eastAsia="Times New Roman" w:hAnsiTheme="majorBidi" w:cstheme="majorBidi"/>
          <w:sz w:val="24"/>
          <w:szCs w:val="24"/>
          <w:lang w:val="en-US" w:eastAsia="ru-MD"/>
        </w:rPr>
      </w:pPr>
      <w:r w:rsidRPr="00BC64AC">
        <w:rPr>
          <w:rFonts w:asciiTheme="majorBidi" w:eastAsia="Times New Roman" w:hAnsiTheme="majorBidi" w:cstheme="majorBidi"/>
          <w:sz w:val="24"/>
          <w:szCs w:val="24"/>
          <w:lang w:val="en-US" w:eastAsia="ru-MD"/>
        </w:rPr>
        <w:t>Unemployment rate – the quarterly level of unemployment, chosen as the third variable due to its social and macroeconomic relevance, as it typically rises during recessions and falls during periods of growth.</w:t>
      </w:r>
    </w:p>
    <w:p w14:paraId="4C8172A7" w14:textId="77777777" w:rsidR="00BC64AC" w:rsidRPr="00BC64AC" w:rsidRDefault="00BC64AC" w:rsidP="00BC64AC">
      <w:pPr>
        <w:pStyle w:val="a4"/>
        <w:spacing w:after="120" w:line="240" w:lineRule="auto"/>
        <w:jc w:val="both"/>
        <w:rPr>
          <w:rFonts w:asciiTheme="majorBidi" w:eastAsia="Times New Roman" w:hAnsiTheme="majorBidi" w:cstheme="majorBidi"/>
          <w:sz w:val="24"/>
          <w:szCs w:val="24"/>
          <w:lang w:val="en-US" w:eastAsia="ru-MD"/>
        </w:rPr>
      </w:pPr>
    </w:p>
    <w:p w14:paraId="0F9241E7" w14:textId="024F130C" w:rsidR="00BC64AC" w:rsidRPr="00BC64AC" w:rsidRDefault="00BC64AC" w:rsidP="00BC64AC">
      <w:pPr>
        <w:pStyle w:val="a4"/>
        <w:spacing w:after="120" w:line="240" w:lineRule="auto"/>
        <w:jc w:val="right"/>
        <w:rPr>
          <w:rFonts w:asciiTheme="majorBidi" w:eastAsia="Times New Roman" w:hAnsiTheme="majorBidi" w:cstheme="majorBidi"/>
          <w:i/>
          <w:iCs/>
          <w:sz w:val="24"/>
          <w:szCs w:val="24"/>
          <w:lang w:val="en-US" w:eastAsia="ru-MD"/>
        </w:rPr>
      </w:pPr>
      <w:r w:rsidRPr="00BC64AC">
        <w:rPr>
          <w:rFonts w:asciiTheme="majorBidi" w:eastAsia="Times New Roman" w:hAnsiTheme="majorBidi" w:cstheme="majorBidi"/>
          <w:i/>
          <w:iCs/>
          <w:sz w:val="24"/>
          <w:szCs w:val="24"/>
          <w:lang w:val="en-US" w:eastAsia="ru-MD"/>
        </w:rPr>
        <w:t>Table 1</w:t>
      </w:r>
      <w:r>
        <w:rPr>
          <w:rFonts w:asciiTheme="majorBidi" w:eastAsia="Times New Roman" w:hAnsiTheme="majorBidi" w:cstheme="majorBidi"/>
          <w:i/>
          <w:iCs/>
          <w:sz w:val="24"/>
          <w:szCs w:val="24"/>
          <w:lang w:val="en-US" w:eastAsia="ru-MD"/>
        </w:rPr>
        <w:t>:</w:t>
      </w:r>
      <w:r w:rsidRPr="00BC64AC">
        <w:t xml:space="preserve"> </w:t>
      </w:r>
      <w:r>
        <w:rPr>
          <w:rFonts w:asciiTheme="majorBidi" w:eastAsia="Times New Roman" w:hAnsiTheme="majorBidi" w:cstheme="majorBidi"/>
          <w:i/>
          <w:iCs/>
          <w:sz w:val="24"/>
          <w:szCs w:val="24"/>
          <w:lang w:val="en-US" w:eastAsia="ru-MD"/>
        </w:rPr>
        <w:t>M</w:t>
      </w:r>
      <w:r w:rsidRPr="00BC64AC">
        <w:rPr>
          <w:rFonts w:asciiTheme="majorBidi" w:eastAsia="Times New Roman" w:hAnsiTheme="majorBidi" w:cstheme="majorBidi"/>
          <w:i/>
          <w:iCs/>
          <w:sz w:val="24"/>
          <w:szCs w:val="24"/>
          <w:lang w:val="en-US" w:eastAsia="ru-MD"/>
        </w:rPr>
        <w:t>acroeconomic indicators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2"/>
        <w:gridCol w:w="4230"/>
        <w:gridCol w:w="3323"/>
      </w:tblGrid>
      <w:tr w:rsidR="005E4295" w:rsidRPr="005E4295" w14:paraId="5EBE317B" w14:textId="77777777" w:rsidTr="00E65874">
        <w:trPr>
          <w:tblHeader/>
          <w:tblCellSpacing w:w="15" w:type="dxa"/>
        </w:trPr>
        <w:tc>
          <w:tcPr>
            <w:tcW w:w="1867" w:type="dxa"/>
            <w:vAlign w:val="center"/>
            <w:hideMark/>
          </w:tcPr>
          <w:p w14:paraId="1A4854D2" w14:textId="77777777" w:rsidR="005E4295" w:rsidRPr="005E4295" w:rsidRDefault="005E4295" w:rsidP="005E4295">
            <w:pPr>
              <w:spacing w:after="0" w:line="240" w:lineRule="auto"/>
              <w:jc w:val="center"/>
              <w:rPr>
                <w:rFonts w:asciiTheme="majorBidi" w:eastAsia="Times New Roman" w:hAnsiTheme="majorBidi" w:cstheme="majorBidi"/>
                <w:b/>
                <w:bCs/>
                <w:sz w:val="24"/>
                <w:szCs w:val="24"/>
                <w:lang w:val="en-US" w:eastAsia="ru-MD"/>
              </w:rPr>
            </w:pPr>
            <w:r w:rsidRPr="005E4295">
              <w:rPr>
                <w:rFonts w:asciiTheme="majorBidi" w:eastAsia="Times New Roman" w:hAnsiTheme="majorBidi" w:cstheme="majorBidi"/>
                <w:b/>
                <w:bCs/>
                <w:sz w:val="24"/>
                <w:szCs w:val="24"/>
                <w:lang w:val="en-US" w:eastAsia="ru-MD"/>
              </w:rPr>
              <w:t>Target Variable</w:t>
            </w:r>
          </w:p>
        </w:tc>
        <w:tc>
          <w:tcPr>
            <w:tcW w:w="0" w:type="auto"/>
            <w:vAlign w:val="center"/>
            <w:hideMark/>
          </w:tcPr>
          <w:p w14:paraId="63EAAD37" w14:textId="77777777" w:rsidR="005E4295" w:rsidRPr="005E4295" w:rsidRDefault="005E4295" w:rsidP="005E4295">
            <w:pPr>
              <w:spacing w:after="0" w:line="240" w:lineRule="auto"/>
              <w:jc w:val="center"/>
              <w:rPr>
                <w:rFonts w:asciiTheme="majorBidi" w:eastAsia="Times New Roman" w:hAnsiTheme="majorBidi" w:cstheme="majorBidi"/>
                <w:b/>
                <w:bCs/>
                <w:sz w:val="24"/>
                <w:szCs w:val="24"/>
                <w:lang w:val="en-US" w:eastAsia="ru-MD"/>
              </w:rPr>
            </w:pPr>
            <w:r w:rsidRPr="005E4295">
              <w:rPr>
                <w:rFonts w:asciiTheme="majorBidi" w:eastAsia="Times New Roman" w:hAnsiTheme="majorBidi" w:cstheme="majorBidi"/>
                <w:b/>
                <w:bCs/>
                <w:sz w:val="24"/>
                <w:szCs w:val="24"/>
                <w:lang w:val="en-US" w:eastAsia="ru-MD"/>
              </w:rPr>
              <w:t>Description</w:t>
            </w:r>
          </w:p>
        </w:tc>
        <w:tc>
          <w:tcPr>
            <w:tcW w:w="0" w:type="auto"/>
            <w:vAlign w:val="center"/>
            <w:hideMark/>
          </w:tcPr>
          <w:p w14:paraId="3D040846" w14:textId="77777777" w:rsidR="005E4295" w:rsidRPr="005E4295" w:rsidRDefault="005E4295" w:rsidP="005E4295">
            <w:pPr>
              <w:spacing w:after="0" w:line="240" w:lineRule="auto"/>
              <w:jc w:val="center"/>
              <w:rPr>
                <w:rFonts w:asciiTheme="majorBidi" w:eastAsia="Times New Roman" w:hAnsiTheme="majorBidi" w:cstheme="majorBidi"/>
                <w:b/>
                <w:bCs/>
                <w:sz w:val="24"/>
                <w:szCs w:val="24"/>
                <w:lang w:val="en-US" w:eastAsia="ru-MD"/>
              </w:rPr>
            </w:pPr>
            <w:r w:rsidRPr="005E4295">
              <w:rPr>
                <w:rFonts w:asciiTheme="majorBidi" w:eastAsia="Times New Roman" w:hAnsiTheme="majorBidi" w:cstheme="majorBidi"/>
                <w:b/>
                <w:bCs/>
                <w:sz w:val="24"/>
                <w:szCs w:val="24"/>
                <w:lang w:val="en-US" w:eastAsia="ru-MD"/>
              </w:rPr>
              <w:t>Rationale</w:t>
            </w:r>
          </w:p>
        </w:tc>
      </w:tr>
      <w:tr w:rsidR="005E4295" w:rsidRPr="00BC64AC" w14:paraId="449FED22" w14:textId="77777777" w:rsidTr="00E65874">
        <w:trPr>
          <w:tblCellSpacing w:w="15" w:type="dxa"/>
        </w:trPr>
        <w:tc>
          <w:tcPr>
            <w:tcW w:w="1867" w:type="dxa"/>
            <w:vAlign w:val="center"/>
            <w:hideMark/>
          </w:tcPr>
          <w:p w14:paraId="417D2389"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b/>
                <w:bCs/>
                <w:sz w:val="24"/>
                <w:szCs w:val="24"/>
                <w:lang w:val="en-US" w:eastAsia="ru-MD"/>
              </w:rPr>
              <w:t>GDP growth (YoY)</w:t>
            </w:r>
          </w:p>
        </w:tc>
        <w:tc>
          <w:tcPr>
            <w:tcW w:w="0" w:type="auto"/>
            <w:vAlign w:val="center"/>
            <w:hideMark/>
          </w:tcPr>
          <w:p w14:paraId="78C90F2A"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 xml:space="preserve">Calculated as the annual percentage change in quarterly GDP: </w:t>
            </w:r>
            <w:r w:rsidRPr="005E4295">
              <w:rPr>
                <w:rFonts w:asciiTheme="majorBidi" w:eastAsia="Times New Roman" w:hAnsiTheme="majorBidi" w:cstheme="majorBidi"/>
                <w:i/>
                <w:iCs/>
                <w:sz w:val="24"/>
                <w:szCs w:val="24"/>
                <w:lang w:val="en-US" w:eastAsia="ru-MD"/>
              </w:rPr>
              <w:t>GDP_growth_yoy = 100 × (GDP_t / GDP_{t−4} − 1)</w:t>
            </w:r>
          </w:p>
        </w:tc>
        <w:tc>
          <w:tcPr>
            <w:tcW w:w="0" w:type="auto"/>
            <w:vAlign w:val="center"/>
            <w:hideMark/>
          </w:tcPr>
          <w:p w14:paraId="5457BAA3"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Captures overall economic expansion or contraction, smoothing seasonal fluctuations and reflecting the business cycle.</w:t>
            </w:r>
          </w:p>
        </w:tc>
      </w:tr>
      <w:tr w:rsidR="005E4295" w:rsidRPr="00BC64AC" w14:paraId="604A9C04" w14:textId="77777777" w:rsidTr="00E65874">
        <w:trPr>
          <w:tblCellSpacing w:w="15" w:type="dxa"/>
        </w:trPr>
        <w:tc>
          <w:tcPr>
            <w:tcW w:w="1867" w:type="dxa"/>
            <w:vAlign w:val="center"/>
            <w:hideMark/>
          </w:tcPr>
          <w:p w14:paraId="46591D19"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b/>
                <w:bCs/>
                <w:sz w:val="24"/>
                <w:szCs w:val="24"/>
                <w:lang w:val="en-US" w:eastAsia="ru-MD"/>
              </w:rPr>
              <w:t>Inflation rate (YoY, HICP)</w:t>
            </w:r>
          </w:p>
        </w:tc>
        <w:tc>
          <w:tcPr>
            <w:tcW w:w="0" w:type="auto"/>
            <w:vAlign w:val="center"/>
            <w:hideMark/>
          </w:tcPr>
          <w:p w14:paraId="63BE2990" w14:textId="4E1697DF"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 xml:space="preserve">Computed as the annual percentage change in the </w:t>
            </w:r>
            <w:r w:rsidR="000C7D78" w:rsidRPr="000C7D78">
              <w:rPr>
                <w:rFonts w:asciiTheme="majorBidi" w:eastAsia="Times New Roman" w:hAnsiTheme="majorBidi" w:cstheme="majorBidi"/>
                <w:sz w:val="24"/>
                <w:szCs w:val="24"/>
                <w:lang w:val="en-US" w:eastAsia="ru-MD"/>
              </w:rPr>
              <w:t>Harmonized</w:t>
            </w:r>
            <w:r w:rsidRPr="005E4295">
              <w:rPr>
                <w:rFonts w:asciiTheme="majorBidi" w:eastAsia="Times New Roman" w:hAnsiTheme="majorBidi" w:cstheme="majorBidi"/>
                <w:sz w:val="24"/>
                <w:szCs w:val="24"/>
                <w:lang w:val="en-US" w:eastAsia="ru-MD"/>
              </w:rPr>
              <w:t xml:space="preserve"> Index of Consumer Prices: </w:t>
            </w:r>
            <w:r w:rsidRPr="005E4295">
              <w:rPr>
                <w:rFonts w:asciiTheme="majorBidi" w:eastAsia="Times New Roman" w:hAnsiTheme="majorBidi" w:cstheme="majorBidi"/>
                <w:i/>
                <w:iCs/>
                <w:sz w:val="24"/>
                <w:szCs w:val="24"/>
                <w:lang w:val="en-US" w:eastAsia="ru-MD"/>
              </w:rPr>
              <w:t>Inflation_yoy = 100 × (HICP_t / HICP_{t−4} − 1)</w:t>
            </w:r>
          </w:p>
        </w:tc>
        <w:tc>
          <w:tcPr>
            <w:tcW w:w="0" w:type="auto"/>
            <w:vAlign w:val="center"/>
            <w:hideMark/>
          </w:tcPr>
          <w:p w14:paraId="114D5F38"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Core indicator of price dynamics and cost pressures in the economy.</w:t>
            </w:r>
          </w:p>
        </w:tc>
      </w:tr>
      <w:tr w:rsidR="005E4295" w:rsidRPr="00BC64AC" w14:paraId="1ED4A80D" w14:textId="77777777" w:rsidTr="00E65874">
        <w:trPr>
          <w:tblCellSpacing w:w="15" w:type="dxa"/>
        </w:trPr>
        <w:tc>
          <w:tcPr>
            <w:tcW w:w="1867" w:type="dxa"/>
            <w:vAlign w:val="center"/>
            <w:hideMark/>
          </w:tcPr>
          <w:p w14:paraId="295039E5"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b/>
                <w:bCs/>
                <w:sz w:val="24"/>
                <w:szCs w:val="24"/>
                <w:lang w:val="en-US" w:eastAsia="ru-MD"/>
              </w:rPr>
              <w:t>Unemployment rate</w:t>
            </w:r>
          </w:p>
        </w:tc>
        <w:tc>
          <w:tcPr>
            <w:tcW w:w="0" w:type="auto"/>
            <w:vAlign w:val="center"/>
            <w:hideMark/>
          </w:tcPr>
          <w:p w14:paraId="05C9C403"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Quarterly unemployment level (not differenced).</w:t>
            </w:r>
          </w:p>
        </w:tc>
        <w:tc>
          <w:tcPr>
            <w:tcW w:w="0" w:type="auto"/>
            <w:vAlign w:val="center"/>
            <w:hideMark/>
          </w:tcPr>
          <w:p w14:paraId="287154F3"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Key social–economic indicator that reacts inversely to economic growth and reflects labor-market resilience.</w:t>
            </w:r>
          </w:p>
        </w:tc>
      </w:tr>
    </w:tbl>
    <w:p w14:paraId="5F3FAFEC" w14:textId="77777777" w:rsidR="005E4295" w:rsidRDefault="005E4295" w:rsidP="00E65874">
      <w:pPr>
        <w:spacing w:before="100" w:beforeAutospacing="1" w:after="100" w:afterAutospacing="1" w:line="240" w:lineRule="auto"/>
        <w:jc w:val="both"/>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 xml:space="preserve">These three variables jointly capture </w:t>
      </w:r>
      <w:r w:rsidRPr="005E4295">
        <w:rPr>
          <w:rFonts w:asciiTheme="majorBidi" w:eastAsia="Times New Roman" w:hAnsiTheme="majorBidi" w:cstheme="majorBidi"/>
          <w:b/>
          <w:bCs/>
          <w:sz w:val="24"/>
          <w:szCs w:val="24"/>
          <w:lang w:val="en-US" w:eastAsia="ru-MD"/>
        </w:rPr>
        <w:t>economic output</w:t>
      </w:r>
      <w:r w:rsidRPr="005E4295">
        <w:rPr>
          <w:rFonts w:asciiTheme="majorBidi" w:eastAsia="Times New Roman" w:hAnsiTheme="majorBidi" w:cstheme="majorBidi"/>
          <w:sz w:val="24"/>
          <w:szCs w:val="24"/>
          <w:lang w:val="en-US" w:eastAsia="ru-MD"/>
        </w:rPr>
        <w:t xml:space="preserve">, </w:t>
      </w:r>
      <w:r w:rsidRPr="005E4295">
        <w:rPr>
          <w:rFonts w:asciiTheme="majorBidi" w:eastAsia="Times New Roman" w:hAnsiTheme="majorBidi" w:cstheme="majorBidi"/>
          <w:b/>
          <w:bCs/>
          <w:sz w:val="24"/>
          <w:szCs w:val="24"/>
          <w:lang w:val="en-US" w:eastAsia="ru-MD"/>
        </w:rPr>
        <w:t>price stability</w:t>
      </w:r>
      <w:r w:rsidRPr="005E4295">
        <w:rPr>
          <w:rFonts w:asciiTheme="majorBidi" w:eastAsia="Times New Roman" w:hAnsiTheme="majorBidi" w:cstheme="majorBidi"/>
          <w:sz w:val="24"/>
          <w:szCs w:val="24"/>
          <w:lang w:val="en-US" w:eastAsia="ru-MD"/>
        </w:rPr>
        <w:t xml:space="preserve">, and </w:t>
      </w:r>
      <w:r w:rsidRPr="005E4295">
        <w:rPr>
          <w:rFonts w:asciiTheme="majorBidi" w:eastAsia="Times New Roman" w:hAnsiTheme="majorBidi" w:cstheme="majorBidi"/>
          <w:b/>
          <w:bCs/>
          <w:sz w:val="24"/>
          <w:szCs w:val="24"/>
          <w:lang w:val="en-US" w:eastAsia="ru-MD"/>
        </w:rPr>
        <w:t>labor-market performance</w:t>
      </w:r>
      <w:r w:rsidRPr="005E4295">
        <w:rPr>
          <w:rFonts w:asciiTheme="majorBidi" w:eastAsia="Times New Roman" w:hAnsiTheme="majorBidi" w:cstheme="majorBidi"/>
          <w:sz w:val="24"/>
          <w:szCs w:val="24"/>
          <w:lang w:val="en-US" w:eastAsia="ru-MD"/>
        </w:rPr>
        <w:t>, which are the main pillars of macroeconomic monitoring.</w:t>
      </w:r>
    </w:p>
    <w:p w14:paraId="5151E0E8" w14:textId="77777777" w:rsidR="00E65874" w:rsidRDefault="000C7D78" w:rsidP="00E65874">
      <w:pPr>
        <w:spacing w:after="120" w:line="240" w:lineRule="auto"/>
        <w:outlineLvl w:val="2"/>
        <w:rPr>
          <w:rFonts w:asciiTheme="majorBidi" w:eastAsia="Times New Roman" w:hAnsiTheme="majorBidi" w:cstheme="majorBidi"/>
          <w:b/>
          <w:bCs/>
          <w:sz w:val="27"/>
          <w:szCs w:val="27"/>
          <w:lang w:val="en-US" w:eastAsia="ru-MD"/>
        </w:rPr>
      </w:pPr>
      <w:r w:rsidRPr="000C7D78">
        <w:rPr>
          <w:rFonts w:asciiTheme="majorBidi" w:eastAsia="Times New Roman" w:hAnsiTheme="majorBidi" w:cstheme="majorBidi"/>
          <w:b/>
          <w:bCs/>
          <w:sz w:val="27"/>
          <w:szCs w:val="27"/>
          <w:lang w:val="en-US" w:eastAsia="ru-MD"/>
        </w:rPr>
        <w:t>2</w:t>
      </w:r>
      <w:r w:rsidR="005E4295" w:rsidRPr="005E4295">
        <w:rPr>
          <w:rFonts w:asciiTheme="majorBidi" w:eastAsia="Times New Roman" w:hAnsiTheme="majorBidi" w:cstheme="majorBidi"/>
          <w:b/>
          <w:bCs/>
          <w:sz w:val="27"/>
          <w:szCs w:val="27"/>
          <w:lang w:val="en-US" w:eastAsia="ru-MD"/>
        </w:rPr>
        <w:t xml:space="preserve">. </w:t>
      </w:r>
      <w:r w:rsidR="00E65874" w:rsidRPr="00E65874">
        <w:rPr>
          <w:rFonts w:asciiTheme="majorBidi" w:eastAsia="Times New Roman" w:hAnsiTheme="majorBidi" w:cstheme="majorBidi"/>
          <w:b/>
          <w:bCs/>
          <w:sz w:val="27"/>
          <w:szCs w:val="27"/>
          <w:lang w:val="en-US" w:eastAsia="ru-MD"/>
        </w:rPr>
        <w:t>Feature Engineering and Frequency Harmonization</w:t>
      </w:r>
    </w:p>
    <w:p w14:paraId="3BA6EC37" w14:textId="7997D84C" w:rsidR="00E65874" w:rsidRPr="000C7D78" w:rsidRDefault="00E65874" w:rsidP="00E65874">
      <w:pPr>
        <w:spacing w:after="120" w:line="240" w:lineRule="auto"/>
        <w:outlineLvl w:val="2"/>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 xml:space="preserve">The dataset used in this phase originated from </w:t>
      </w:r>
      <w:r w:rsidRPr="000C7D78">
        <w:rPr>
          <w:rFonts w:asciiTheme="majorBidi" w:eastAsia="Times New Roman" w:hAnsiTheme="majorBidi" w:cstheme="majorBidi"/>
          <w:b/>
          <w:bCs/>
          <w:sz w:val="24"/>
          <w:szCs w:val="24"/>
          <w:lang w:val="en-US" w:eastAsia="ru-MD"/>
        </w:rPr>
        <w:t>Assignment 1 (Exploratory Data Analysis)</w:t>
      </w:r>
      <w:r w:rsidRPr="000C7D78">
        <w:rPr>
          <w:rFonts w:asciiTheme="majorBidi" w:eastAsia="Times New Roman" w:hAnsiTheme="majorBidi" w:cstheme="majorBidi"/>
          <w:sz w:val="24"/>
          <w:szCs w:val="24"/>
          <w:lang w:val="en-US" w:eastAsia="ru-MD"/>
        </w:rPr>
        <w:t>, where multiple Eurostat and World Bank indicators for Latvia were merged into a single table covering the period 1960–2025</w:t>
      </w:r>
      <w:r>
        <w:rPr>
          <w:rFonts w:asciiTheme="majorBidi" w:eastAsia="Times New Roman" w:hAnsiTheme="majorBidi" w:cstheme="majorBidi"/>
          <w:sz w:val="24"/>
          <w:szCs w:val="24"/>
          <w:lang w:val="en-US" w:eastAsia="ru-MD"/>
        </w:rPr>
        <w:t xml:space="preserve"> </w:t>
      </w:r>
      <w:r>
        <w:rPr>
          <w:rFonts w:asciiTheme="majorBidi" w:eastAsia="Times New Roman" w:hAnsiTheme="majorBidi" w:cstheme="majorBidi"/>
          <w:sz w:val="24"/>
          <w:szCs w:val="24"/>
          <w:lang w:val="en-US" w:eastAsia="ru-MD"/>
        </w:rPr>
        <w:t>(</w:t>
      </w:r>
      <w:hyperlink r:id="rId6" w:history="1">
        <w:r w:rsidRPr="00E65874">
          <w:rPr>
            <w:rStyle w:val="a7"/>
            <w:rFonts w:asciiTheme="majorBidi" w:eastAsia="Times New Roman" w:hAnsiTheme="majorBidi" w:cstheme="majorBidi"/>
            <w:sz w:val="24"/>
            <w:szCs w:val="24"/>
            <w:lang w:val="en-US" w:eastAsia="ru-MD"/>
          </w:rPr>
          <w:t>./data/merged_</w:t>
        </w:r>
        <w:r>
          <w:rPr>
            <w:rStyle w:val="a7"/>
            <w:rFonts w:asciiTheme="majorBidi" w:eastAsia="Times New Roman" w:hAnsiTheme="majorBidi" w:cstheme="majorBidi"/>
            <w:sz w:val="24"/>
            <w:szCs w:val="24"/>
            <w:lang w:val="en-US" w:eastAsia="ru-MD"/>
          </w:rPr>
          <w:t>df_readable</w:t>
        </w:r>
        <w:r w:rsidRPr="00E65874">
          <w:rPr>
            <w:rStyle w:val="a7"/>
            <w:rFonts w:asciiTheme="majorBidi" w:eastAsia="Times New Roman" w:hAnsiTheme="majorBidi" w:cstheme="majorBidi"/>
            <w:sz w:val="24"/>
            <w:szCs w:val="24"/>
            <w:lang w:val="en-US" w:eastAsia="ru-MD"/>
          </w:rPr>
          <w:t>.csv</w:t>
        </w:r>
      </w:hyperlink>
      <w:r>
        <w:rPr>
          <w:rFonts w:asciiTheme="majorBidi" w:eastAsia="Times New Roman" w:hAnsiTheme="majorBidi" w:cstheme="majorBidi"/>
          <w:sz w:val="24"/>
          <w:szCs w:val="24"/>
          <w:lang w:val="en-US" w:eastAsia="ru-MD"/>
        </w:rPr>
        <w:t>)</w:t>
      </w:r>
      <w:r w:rsidRPr="000C7D78">
        <w:rPr>
          <w:rFonts w:asciiTheme="majorBidi" w:eastAsia="Times New Roman" w:hAnsiTheme="majorBidi" w:cstheme="majorBidi"/>
          <w:sz w:val="24"/>
          <w:szCs w:val="24"/>
          <w:lang w:val="en-US" w:eastAsia="ru-MD"/>
        </w:rPr>
        <w:t>.</w:t>
      </w:r>
    </w:p>
    <w:p w14:paraId="0DC0D1E0" w14:textId="77777777" w:rsidR="00E65874" w:rsidRPr="000C7D78" w:rsidRDefault="00E65874" w:rsidP="00E65874">
      <w:pPr>
        <w:spacing w:after="120" w:line="240" w:lineRule="auto"/>
        <w:jc w:val="both"/>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 xml:space="preserve">However, the indicators were reported at </w:t>
      </w:r>
      <w:r w:rsidRPr="000C7D78">
        <w:rPr>
          <w:rFonts w:asciiTheme="majorBidi" w:eastAsia="Times New Roman" w:hAnsiTheme="majorBidi" w:cstheme="majorBidi"/>
          <w:b/>
          <w:bCs/>
          <w:sz w:val="24"/>
          <w:szCs w:val="24"/>
          <w:lang w:val="en-US" w:eastAsia="ru-MD"/>
        </w:rPr>
        <w:t>different temporal frequencies</w:t>
      </w:r>
      <w:r w:rsidRPr="000C7D78">
        <w:rPr>
          <w:rFonts w:asciiTheme="majorBidi" w:eastAsia="Times New Roman" w:hAnsiTheme="majorBidi" w:cstheme="majorBidi"/>
          <w:sz w:val="24"/>
          <w:szCs w:val="24"/>
          <w:lang w:val="en-US" w:eastAsia="ru-MD"/>
        </w:rPr>
        <w:t xml:space="preserve"> — monthly, quarterly, semi-annual, and annual.</w:t>
      </w:r>
    </w:p>
    <w:p w14:paraId="39403453" w14:textId="77777777" w:rsidR="00E65874" w:rsidRPr="00BC64AC" w:rsidRDefault="00E65874" w:rsidP="00E65874">
      <w:pPr>
        <w:spacing w:after="120" w:line="240" w:lineRule="auto"/>
        <w:jc w:val="both"/>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 xml:space="preserve">Before any modeling could be performed, it was necessary to </w:t>
      </w:r>
      <w:r w:rsidRPr="000C7D78">
        <w:rPr>
          <w:rFonts w:asciiTheme="majorBidi" w:eastAsia="Times New Roman" w:hAnsiTheme="majorBidi" w:cstheme="majorBidi"/>
          <w:b/>
          <w:bCs/>
          <w:sz w:val="24"/>
          <w:szCs w:val="24"/>
          <w:lang w:val="en-US" w:eastAsia="ru-MD"/>
        </w:rPr>
        <w:t>convert all series to a common quarterly frequency</w:t>
      </w:r>
      <w:r w:rsidRPr="000C7D78">
        <w:rPr>
          <w:rFonts w:asciiTheme="majorBidi" w:eastAsia="Times New Roman" w:hAnsiTheme="majorBidi" w:cstheme="majorBidi"/>
          <w:sz w:val="24"/>
          <w:szCs w:val="24"/>
          <w:lang w:val="en-US" w:eastAsia="ru-MD"/>
        </w:rPr>
        <w:t xml:space="preserve"> and ensure temporal alignment across all variables.</w:t>
      </w:r>
      <w:r w:rsidRPr="000C7D78">
        <w:rPr>
          <w:rFonts w:asciiTheme="majorBidi" w:eastAsia="Times New Roman" w:hAnsiTheme="majorBidi" w:cstheme="majorBidi"/>
          <w:sz w:val="24"/>
          <w:szCs w:val="24"/>
          <w:lang w:val="en-US" w:eastAsia="ru-MD"/>
        </w:rPr>
        <w:br/>
        <w:t xml:space="preserve">This operation was implemented through a dedicated Python script using the </w:t>
      </w:r>
      <w:r w:rsidRPr="000C7D78">
        <w:rPr>
          <w:rFonts w:asciiTheme="majorBidi" w:eastAsia="Times New Roman" w:hAnsiTheme="majorBidi" w:cstheme="majorBidi"/>
          <w:i/>
          <w:iCs/>
          <w:sz w:val="24"/>
          <w:szCs w:val="24"/>
          <w:lang w:val="en-US" w:eastAsia="ru-MD"/>
        </w:rPr>
        <w:t>pandas</w:t>
      </w:r>
      <w:r w:rsidRPr="000C7D78">
        <w:rPr>
          <w:rFonts w:asciiTheme="majorBidi" w:eastAsia="Times New Roman" w:hAnsiTheme="majorBidi" w:cstheme="majorBidi"/>
          <w:sz w:val="24"/>
          <w:szCs w:val="24"/>
          <w:lang w:val="en-US" w:eastAsia="ru-MD"/>
        </w:rPr>
        <w:t xml:space="preserve"> library (see listing below).</w:t>
      </w:r>
    </w:p>
    <w:p w14:paraId="6F242599" w14:textId="77777777" w:rsidR="00E65874" w:rsidRPr="000C7D78" w:rsidRDefault="00E65874" w:rsidP="00E65874">
      <w:pPr>
        <w:pStyle w:val="aa"/>
        <w:spacing w:before="0" w:beforeAutospacing="0" w:after="120" w:afterAutospacing="0"/>
        <w:jc w:val="both"/>
        <w:rPr>
          <w:rFonts w:asciiTheme="majorBidi" w:hAnsiTheme="majorBidi" w:cstheme="majorBidi"/>
          <w:lang w:val="en-US"/>
        </w:rPr>
      </w:pPr>
      <w:r w:rsidRPr="000C7D78">
        <w:rPr>
          <w:rFonts w:asciiTheme="majorBidi" w:hAnsiTheme="majorBidi" w:cstheme="majorBidi"/>
          <w:lang w:val="en-US"/>
        </w:rPr>
        <w:t>Each indicator was classified into four categories according to its original publication frequency:</w:t>
      </w:r>
    </w:p>
    <w:p w14:paraId="58C3496E" w14:textId="77777777" w:rsidR="00E65874" w:rsidRPr="000C7D78" w:rsidRDefault="00E65874">
      <w:pPr>
        <w:pStyle w:val="aa"/>
        <w:numPr>
          <w:ilvl w:val="0"/>
          <w:numId w:val="1"/>
        </w:numPr>
        <w:spacing w:before="0" w:beforeAutospacing="0" w:after="120" w:afterAutospacing="0"/>
        <w:jc w:val="both"/>
        <w:rPr>
          <w:rFonts w:asciiTheme="majorBidi" w:hAnsiTheme="majorBidi" w:cstheme="majorBidi"/>
          <w:lang w:val="en-US"/>
        </w:rPr>
      </w:pPr>
      <w:r w:rsidRPr="000C7D78">
        <w:rPr>
          <w:rStyle w:val="a6"/>
          <w:rFonts w:asciiTheme="majorBidi" w:hAnsiTheme="majorBidi" w:cstheme="majorBidi"/>
          <w:lang w:val="en-US"/>
        </w:rPr>
        <w:t>Monthly:</w:t>
      </w:r>
      <w:r w:rsidRPr="000C7D78">
        <w:rPr>
          <w:rFonts w:asciiTheme="majorBidi" w:hAnsiTheme="majorBidi" w:cstheme="majorBidi"/>
          <w:lang w:val="en-US"/>
        </w:rPr>
        <w:t xml:space="preserve"> inflation, unemployment rate, industrial production, retail trade, tourism, passenger transport;</w:t>
      </w:r>
    </w:p>
    <w:p w14:paraId="56E4DBB3" w14:textId="77777777" w:rsidR="00E65874" w:rsidRPr="000C7D78" w:rsidRDefault="00E65874">
      <w:pPr>
        <w:pStyle w:val="aa"/>
        <w:numPr>
          <w:ilvl w:val="0"/>
          <w:numId w:val="1"/>
        </w:numPr>
        <w:spacing w:before="0" w:beforeAutospacing="0" w:after="120" w:afterAutospacing="0"/>
        <w:jc w:val="both"/>
        <w:rPr>
          <w:rFonts w:asciiTheme="majorBidi" w:hAnsiTheme="majorBidi" w:cstheme="majorBidi"/>
        </w:rPr>
      </w:pPr>
      <w:r w:rsidRPr="000C7D78">
        <w:rPr>
          <w:rStyle w:val="a6"/>
          <w:rFonts w:asciiTheme="majorBidi" w:hAnsiTheme="majorBidi" w:cstheme="majorBidi"/>
        </w:rPr>
        <w:t>Quarterly:</w:t>
      </w:r>
      <w:r w:rsidRPr="000C7D78">
        <w:rPr>
          <w:rFonts w:asciiTheme="majorBidi" w:hAnsiTheme="majorBidi" w:cstheme="majorBidi"/>
        </w:rPr>
        <w:t xml:space="preserve"> GDP, employment;</w:t>
      </w:r>
    </w:p>
    <w:p w14:paraId="24CD3A98" w14:textId="77777777" w:rsidR="00E65874" w:rsidRPr="000C7D78" w:rsidRDefault="00E65874">
      <w:pPr>
        <w:pStyle w:val="aa"/>
        <w:numPr>
          <w:ilvl w:val="0"/>
          <w:numId w:val="1"/>
        </w:numPr>
        <w:spacing w:before="0" w:beforeAutospacing="0" w:after="120" w:afterAutospacing="0"/>
        <w:jc w:val="both"/>
        <w:rPr>
          <w:rFonts w:asciiTheme="majorBidi" w:hAnsiTheme="majorBidi" w:cstheme="majorBidi"/>
        </w:rPr>
      </w:pPr>
      <w:r w:rsidRPr="000C7D78">
        <w:rPr>
          <w:rStyle w:val="a6"/>
          <w:rFonts w:asciiTheme="majorBidi" w:hAnsiTheme="majorBidi" w:cstheme="majorBidi"/>
        </w:rPr>
        <w:lastRenderedPageBreak/>
        <w:t>Semi-annual:</w:t>
      </w:r>
      <w:r w:rsidRPr="000C7D78">
        <w:rPr>
          <w:rFonts w:asciiTheme="majorBidi" w:hAnsiTheme="majorBidi" w:cstheme="majorBidi"/>
        </w:rPr>
        <w:t xml:space="preserve"> energy prices;</w:t>
      </w:r>
    </w:p>
    <w:p w14:paraId="704DA784" w14:textId="77777777" w:rsidR="00E65874" w:rsidRPr="000C7D78" w:rsidRDefault="00E65874">
      <w:pPr>
        <w:pStyle w:val="aa"/>
        <w:numPr>
          <w:ilvl w:val="0"/>
          <w:numId w:val="1"/>
        </w:numPr>
        <w:spacing w:before="0" w:beforeAutospacing="0" w:after="120" w:afterAutospacing="0"/>
        <w:jc w:val="both"/>
        <w:rPr>
          <w:rFonts w:asciiTheme="majorBidi" w:hAnsiTheme="majorBidi" w:cstheme="majorBidi"/>
          <w:lang w:val="en-US"/>
        </w:rPr>
      </w:pPr>
      <w:r w:rsidRPr="000C7D78">
        <w:rPr>
          <w:rStyle w:val="a6"/>
          <w:rFonts w:asciiTheme="majorBidi" w:hAnsiTheme="majorBidi" w:cstheme="majorBidi"/>
          <w:lang w:val="en-US"/>
        </w:rPr>
        <w:t>Annual:</w:t>
      </w:r>
      <w:r w:rsidRPr="000C7D78">
        <w:rPr>
          <w:rFonts w:asciiTheme="majorBidi" w:hAnsiTheme="majorBidi" w:cstheme="majorBidi"/>
          <w:lang w:val="en-US"/>
        </w:rPr>
        <w:t xml:space="preserve"> trade, migration, population and other slow-changing aggregates.</w:t>
      </w:r>
      <w:r w:rsidRPr="000C7D78">
        <w:rPr>
          <w:rFonts w:asciiTheme="majorBidi" w:hAnsiTheme="majorBidi" w:cstheme="majorBidi"/>
          <w:lang w:val="en-US"/>
        </w:rPr>
        <w:br/>
      </w:r>
      <w:r w:rsidRPr="000C7D78">
        <w:rPr>
          <w:rStyle w:val="ab"/>
          <w:rFonts w:asciiTheme="majorBidi" w:hAnsiTheme="majorBidi" w:cstheme="majorBidi"/>
          <w:lang w:val="en-US"/>
        </w:rPr>
        <w:t>Rationale:</w:t>
      </w:r>
      <w:r w:rsidRPr="000C7D78">
        <w:rPr>
          <w:rFonts w:asciiTheme="majorBidi" w:hAnsiTheme="majorBidi" w:cstheme="majorBidi"/>
          <w:lang w:val="en-US"/>
        </w:rPr>
        <w:t xml:space="preserve"> Different statistical series require different aggregation rules to preserve economic meaning.</w:t>
      </w:r>
    </w:p>
    <w:p w14:paraId="6E206C09" w14:textId="77777777" w:rsidR="00E65874" w:rsidRPr="000C7D78" w:rsidRDefault="00E65874" w:rsidP="00E65874">
      <w:pPr>
        <w:spacing w:after="120" w:line="240" w:lineRule="auto"/>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A new quarterly time grid was created. Variables were then resampled using methods consistent with their nature:</w:t>
      </w:r>
    </w:p>
    <w:p w14:paraId="6CDD837D" w14:textId="77777777" w:rsidR="00E65874" w:rsidRPr="000C7D78" w:rsidRDefault="00E65874" w:rsidP="00E65874">
      <w:pPr>
        <w:spacing w:after="120" w:line="240" w:lineRule="auto"/>
        <w:rPr>
          <w:rFonts w:asciiTheme="majorBidi" w:eastAsia="Times New Roman" w:hAnsiTheme="majorBidi" w:cstheme="majorBidi"/>
          <w:sz w:val="24"/>
          <w:szCs w:val="24"/>
          <w:lang w:val="en-US" w:eastAsia="ru-MD"/>
        </w:rPr>
      </w:pPr>
      <w:r w:rsidRPr="00E65874">
        <w:rPr>
          <w:rFonts w:asciiTheme="majorBidi" w:eastAsia="Times New Roman" w:hAnsiTheme="majorBidi" w:cstheme="majorBidi"/>
          <w:b/>
          <w:bCs/>
          <w:sz w:val="24"/>
          <w:szCs w:val="24"/>
          <w:lang w:val="en-US" w:eastAsia="ru-MD"/>
        </w:rPr>
        <w:t>Monthly → mean</w:t>
      </w:r>
      <w:r w:rsidRPr="000C7D78">
        <w:rPr>
          <w:rFonts w:asciiTheme="majorBidi" w:eastAsia="Times New Roman" w:hAnsiTheme="majorBidi" w:cstheme="majorBidi"/>
          <w:sz w:val="24"/>
          <w:szCs w:val="24"/>
          <w:lang w:val="en-US" w:eastAsia="ru-MD"/>
        </w:rPr>
        <w:t xml:space="preserve"> over each quarter (to capture the average level within the quarter);</w:t>
      </w:r>
    </w:p>
    <w:p w14:paraId="090A33BF" w14:textId="77777777" w:rsidR="00E65874" w:rsidRPr="000C7D78" w:rsidRDefault="00E65874" w:rsidP="00E65874">
      <w:pPr>
        <w:spacing w:after="120" w:line="240" w:lineRule="auto"/>
        <w:rPr>
          <w:rFonts w:asciiTheme="majorBidi" w:eastAsia="Times New Roman" w:hAnsiTheme="majorBidi" w:cstheme="majorBidi"/>
          <w:sz w:val="24"/>
          <w:szCs w:val="24"/>
          <w:lang w:val="en-US" w:eastAsia="ru-MD"/>
        </w:rPr>
      </w:pPr>
      <w:r w:rsidRPr="00E65874">
        <w:rPr>
          <w:rFonts w:asciiTheme="majorBidi" w:eastAsia="Times New Roman" w:hAnsiTheme="majorBidi" w:cstheme="majorBidi"/>
          <w:b/>
          <w:bCs/>
          <w:sz w:val="24"/>
          <w:szCs w:val="24"/>
          <w:lang w:val="en-US" w:eastAsia="ru-MD"/>
        </w:rPr>
        <w:t>Quarterly → last value</w:t>
      </w:r>
      <w:r w:rsidRPr="000C7D78">
        <w:rPr>
          <w:rFonts w:asciiTheme="majorBidi" w:eastAsia="Times New Roman" w:hAnsiTheme="majorBidi" w:cstheme="majorBidi"/>
          <w:sz w:val="24"/>
          <w:szCs w:val="24"/>
          <w:lang w:val="en-US" w:eastAsia="ru-MD"/>
        </w:rPr>
        <w:t xml:space="preserve"> (as official GDP and employment are already reported quarterly);</w:t>
      </w:r>
    </w:p>
    <w:p w14:paraId="676FD810" w14:textId="77777777" w:rsidR="00E65874" w:rsidRPr="00BC64AC" w:rsidRDefault="00E65874" w:rsidP="00E65874">
      <w:pPr>
        <w:spacing w:after="120" w:line="240" w:lineRule="auto"/>
        <w:jc w:val="both"/>
        <w:rPr>
          <w:rFonts w:asciiTheme="majorBidi" w:eastAsia="Times New Roman" w:hAnsiTheme="majorBidi" w:cstheme="majorBidi"/>
          <w:sz w:val="24"/>
          <w:szCs w:val="24"/>
          <w:lang w:val="en-US" w:eastAsia="ru-MD"/>
        </w:rPr>
      </w:pPr>
      <w:r w:rsidRPr="00E65874">
        <w:rPr>
          <w:rFonts w:asciiTheme="majorBidi" w:eastAsia="Times New Roman" w:hAnsiTheme="majorBidi" w:cstheme="majorBidi"/>
          <w:b/>
          <w:bCs/>
          <w:sz w:val="24"/>
          <w:szCs w:val="24"/>
          <w:lang w:val="en-US" w:eastAsia="ru-MD"/>
        </w:rPr>
        <w:t>Semi-annual / Annual → forward-fill</w:t>
      </w:r>
      <w:r w:rsidRPr="000C7D78">
        <w:rPr>
          <w:rFonts w:asciiTheme="majorBidi" w:eastAsia="Times New Roman" w:hAnsiTheme="majorBidi" w:cstheme="majorBidi"/>
          <w:sz w:val="24"/>
          <w:szCs w:val="24"/>
          <w:lang w:val="en-US" w:eastAsia="ru-MD"/>
        </w:rPr>
        <w:t xml:space="preserve"> (ffill) to propagate slower-moving values across all quarters.</w:t>
      </w:r>
    </w:p>
    <w:p w14:paraId="48C0C810" w14:textId="3D4FEBFE" w:rsidR="00E65874" w:rsidRPr="000C7D78" w:rsidRDefault="00E65874" w:rsidP="00E65874">
      <w:pPr>
        <w:spacing w:after="120" w:line="240" w:lineRule="auto"/>
        <w:jc w:val="both"/>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 xml:space="preserve">This process produced a clean, harmonized quarterly dataset </w:t>
      </w:r>
      <w:r>
        <w:rPr>
          <w:rFonts w:asciiTheme="majorBidi" w:eastAsia="Times New Roman" w:hAnsiTheme="majorBidi" w:cstheme="majorBidi"/>
          <w:sz w:val="24"/>
          <w:szCs w:val="24"/>
          <w:lang w:val="en-US" w:eastAsia="ru-MD"/>
        </w:rPr>
        <w:t>(</w:t>
      </w:r>
      <w:hyperlink r:id="rId7" w:history="1">
        <w:r w:rsidRPr="00E65874">
          <w:rPr>
            <w:rStyle w:val="a7"/>
            <w:rFonts w:asciiTheme="majorBidi" w:eastAsia="Times New Roman" w:hAnsiTheme="majorBidi" w:cstheme="majorBidi"/>
            <w:sz w:val="24"/>
            <w:szCs w:val="24"/>
            <w:lang w:val="en-US" w:eastAsia="ru-MD"/>
          </w:rPr>
          <w:t>./data/merged_qaterly.csv</w:t>
        </w:r>
      </w:hyperlink>
      <w:r>
        <w:rPr>
          <w:rFonts w:asciiTheme="majorBidi" w:eastAsia="Times New Roman" w:hAnsiTheme="majorBidi" w:cstheme="majorBidi"/>
          <w:sz w:val="24"/>
          <w:szCs w:val="24"/>
          <w:lang w:val="en-US" w:eastAsia="ru-MD"/>
        </w:rPr>
        <w:t xml:space="preserve">) </w:t>
      </w:r>
      <w:r w:rsidRPr="000C7D78">
        <w:rPr>
          <w:rFonts w:asciiTheme="majorBidi" w:eastAsia="Times New Roman" w:hAnsiTheme="majorBidi" w:cstheme="majorBidi"/>
          <w:sz w:val="24"/>
          <w:szCs w:val="24"/>
          <w:lang w:val="en-US" w:eastAsia="ru-MD"/>
        </w:rPr>
        <w:t>suitable for time-series regression.</w:t>
      </w:r>
    </w:p>
    <w:p w14:paraId="7930AAB8" w14:textId="77777777" w:rsidR="00E65874" w:rsidRPr="00E65874" w:rsidRDefault="00E65874" w:rsidP="00E65874">
      <w:pPr>
        <w:spacing w:before="100" w:beforeAutospacing="1" w:after="100" w:afterAutospacing="1" w:line="240" w:lineRule="auto"/>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 xml:space="preserve">Derived variables such as </w:t>
      </w:r>
      <w:r w:rsidRPr="00E65874">
        <w:rPr>
          <w:rFonts w:ascii="Times New Roman" w:eastAsia="Times New Roman" w:hAnsi="Times New Roman" w:cs="Times New Roman"/>
          <w:b/>
          <w:bCs/>
          <w:sz w:val="24"/>
          <w:szCs w:val="24"/>
          <w:lang w:val="en-US" w:eastAsia="ru-MD"/>
        </w:rPr>
        <w:t>year-over-year changes</w:t>
      </w:r>
      <w:r w:rsidRPr="00E65874">
        <w:rPr>
          <w:rFonts w:ascii="Times New Roman" w:eastAsia="Times New Roman" w:hAnsi="Times New Roman" w:cs="Times New Roman"/>
          <w:sz w:val="24"/>
          <w:szCs w:val="24"/>
          <w:lang w:val="en-US" w:eastAsia="ru-MD"/>
        </w:rPr>
        <w:t xml:space="preserve">, </w:t>
      </w:r>
      <w:r w:rsidRPr="00E65874">
        <w:rPr>
          <w:rFonts w:ascii="Times New Roman" w:eastAsia="Times New Roman" w:hAnsi="Times New Roman" w:cs="Times New Roman"/>
          <w:b/>
          <w:bCs/>
          <w:sz w:val="24"/>
          <w:szCs w:val="24"/>
          <w:lang w:val="en-US" w:eastAsia="ru-MD"/>
        </w:rPr>
        <w:t>lagged predictors</w:t>
      </w:r>
      <w:r w:rsidRPr="00E65874">
        <w:rPr>
          <w:rFonts w:ascii="Times New Roman" w:eastAsia="Times New Roman" w:hAnsi="Times New Roman" w:cs="Times New Roman"/>
          <w:sz w:val="24"/>
          <w:szCs w:val="24"/>
          <w:lang w:val="en-US" w:eastAsia="ru-MD"/>
        </w:rPr>
        <w:t xml:space="preserve">, and </w:t>
      </w:r>
      <w:r w:rsidRPr="00E65874">
        <w:rPr>
          <w:rFonts w:ascii="Times New Roman" w:eastAsia="Times New Roman" w:hAnsi="Times New Roman" w:cs="Times New Roman"/>
          <w:b/>
          <w:bCs/>
          <w:sz w:val="24"/>
          <w:szCs w:val="24"/>
          <w:lang w:val="en-US" w:eastAsia="ru-MD"/>
        </w:rPr>
        <w:t>moving-average smoothed series</w:t>
      </w:r>
      <w:r w:rsidRPr="00E65874">
        <w:rPr>
          <w:rFonts w:ascii="Times New Roman" w:eastAsia="Times New Roman" w:hAnsi="Times New Roman" w:cs="Times New Roman"/>
          <w:sz w:val="24"/>
          <w:szCs w:val="24"/>
          <w:lang w:val="en-US" w:eastAsia="ru-MD"/>
        </w:rPr>
        <w:t xml:space="preserve"> will be generated in Phase 2 to capture inertia and cyclical patterns in the data.</w:t>
      </w:r>
    </w:p>
    <w:p w14:paraId="5ADE233D" w14:textId="43E00083" w:rsidR="005E4295" w:rsidRPr="005E4295" w:rsidRDefault="005E4295" w:rsidP="000C7D78">
      <w:pPr>
        <w:spacing w:before="100" w:beforeAutospacing="1" w:after="100" w:afterAutospacing="1" w:line="240" w:lineRule="auto"/>
        <w:outlineLvl w:val="2"/>
        <w:rPr>
          <w:rFonts w:asciiTheme="majorBidi" w:eastAsia="Times New Roman" w:hAnsiTheme="majorBidi" w:cstheme="majorBidi"/>
          <w:b/>
          <w:bCs/>
          <w:sz w:val="27"/>
          <w:szCs w:val="27"/>
          <w:lang w:val="en-US" w:eastAsia="ru-MD"/>
        </w:rPr>
      </w:pPr>
      <w:r w:rsidRPr="005E4295">
        <w:rPr>
          <w:rFonts w:asciiTheme="majorBidi" w:eastAsia="Times New Roman" w:hAnsiTheme="majorBidi" w:cstheme="majorBidi"/>
          <w:b/>
          <w:bCs/>
          <w:sz w:val="27"/>
          <w:szCs w:val="27"/>
          <w:lang w:val="en-US" w:eastAsia="ru-MD"/>
        </w:rPr>
        <w:t>4. Economically Motivated Feature Selection</w:t>
      </w:r>
    </w:p>
    <w:p w14:paraId="4FFA64E6"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 xml:space="preserve">Predictor variables were chosen based on both </w:t>
      </w:r>
      <w:r w:rsidRPr="00E65874">
        <w:rPr>
          <w:rFonts w:ascii="Times New Roman" w:eastAsia="Times New Roman" w:hAnsi="Times New Roman" w:cs="Times New Roman"/>
          <w:b/>
          <w:bCs/>
          <w:sz w:val="24"/>
          <w:szCs w:val="24"/>
          <w:lang w:val="en-US" w:eastAsia="ru-MD"/>
        </w:rPr>
        <w:t>economic theory</w:t>
      </w:r>
      <w:r w:rsidRPr="00E65874">
        <w:rPr>
          <w:rFonts w:ascii="Times New Roman" w:eastAsia="Times New Roman" w:hAnsi="Times New Roman" w:cs="Times New Roman"/>
          <w:sz w:val="24"/>
          <w:szCs w:val="24"/>
          <w:lang w:val="en-US" w:eastAsia="ru-MD"/>
        </w:rPr>
        <w:t xml:space="preserve"> and the </w:t>
      </w:r>
      <w:r w:rsidRPr="00E65874">
        <w:rPr>
          <w:rFonts w:ascii="Times New Roman" w:eastAsia="Times New Roman" w:hAnsi="Times New Roman" w:cs="Times New Roman"/>
          <w:b/>
          <w:bCs/>
          <w:sz w:val="24"/>
          <w:szCs w:val="24"/>
          <w:lang w:val="en-US" w:eastAsia="ru-MD"/>
        </w:rPr>
        <w:t>correlation insights</w:t>
      </w:r>
      <w:r w:rsidRPr="00E65874">
        <w:rPr>
          <w:rFonts w:ascii="Times New Roman" w:eastAsia="Times New Roman" w:hAnsi="Times New Roman" w:cs="Times New Roman"/>
          <w:sz w:val="24"/>
          <w:szCs w:val="24"/>
          <w:lang w:val="en-US" w:eastAsia="ru-MD"/>
        </w:rPr>
        <w:t xml:space="preserve"> from the EDA phase. Lagged values (t–1) are included to reflect temporal dependencies, and several smoothed versions (MA(4)) will be added to handle cyclical volatility.</w:t>
      </w:r>
    </w:p>
    <w:p w14:paraId="53FD9C67"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The most relevant predictors for each model are summarized below.</w:t>
      </w:r>
    </w:p>
    <w:p w14:paraId="4365F4E2" w14:textId="77777777" w:rsidR="00E65874" w:rsidRPr="00E65874" w:rsidRDefault="00E65874" w:rsidP="00E65874">
      <w:pPr>
        <w:spacing w:after="120" w:line="240" w:lineRule="auto"/>
        <w:jc w:val="both"/>
        <w:outlineLvl w:val="3"/>
        <w:rPr>
          <w:rFonts w:ascii="Times New Roman" w:eastAsia="Times New Roman" w:hAnsi="Times New Roman" w:cs="Times New Roman"/>
          <w:b/>
          <w:bCs/>
          <w:sz w:val="24"/>
          <w:szCs w:val="24"/>
          <w:lang w:val="en-US" w:eastAsia="ru-MD"/>
        </w:rPr>
      </w:pPr>
      <w:r w:rsidRPr="00E65874">
        <w:rPr>
          <w:rFonts w:ascii="Times New Roman" w:eastAsia="Times New Roman" w:hAnsi="Times New Roman" w:cs="Times New Roman"/>
          <w:b/>
          <w:bCs/>
          <w:sz w:val="24"/>
          <w:szCs w:val="24"/>
          <w:lang w:val="en-US" w:eastAsia="ru-MD"/>
        </w:rPr>
        <w:t>Model for GDP Growth (YoY)</w:t>
      </w:r>
    </w:p>
    <w:p w14:paraId="3970574C"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Exports, industrial production, retail turnover, inflation, and transport indicators are expected to explain variations in GDP growth. Higher exports and industrial activity should boost growth, while inflation and energy costs may have a dampening effect.</w:t>
      </w:r>
    </w:p>
    <w:p w14:paraId="25D1C63E" w14:textId="77777777" w:rsidR="00E65874" w:rsidRPr="00E65874" w:rsidRDefault="00E65874" w:rsidP="00E65874">
      <w:pPr>
        <w:spacing w:after="120" w:line="240" w:lineRule="auto"/>
        <w:jc w:val="both"/>
        <w:outlineLvl w:val="3"/>
        <w:rPr>
          <w:rFonts w:ascii="Times New Roman" w:eastAsia="Times New Roman" w:hAnsi="Times New Roman" w:cs="Times New Roman"/>
          <w:b/>
          <w:bCs/>
          <w:sz w:val="24"/>
          <w:szCs w:val="24"/>
          <w:lang w:val="en-US" w:eastAsia="ru-MD"/>
        </w:rPr>
      </w:pPr>
      <w:r w:rsidRPr="00E65874">
        <w:rPr>
          <w:rFonts w:ascii="Times New Roman" w:eastAsia="Times New Roman" w:hAnsi="Times New Roman" w:cs="Times New Roman"/>
          <w:b/>
          <w:bCs/>
          <w:sz w:val="24"/>
          <w:szCs w:val="24"/>
          <w:lang w:val="en-US" w:eastAsia="ru-MD"/>
        </w:rPr>
        <w:t>Model for Inflation (YoY)</w:t>
      </w:r>
    </w:p>
    <w:p w14:paraId="7BAF04DF"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Inflation dynamics are influenced by energy prices, domestic demand, industrial output, and lagged inflation itself. Strong demand and higher input costs are expected to raise inflation, while slower activity may ease price pressures.</w:t>
      </w:r>
    </w:p>
    <w:p w14:paraId="045AE2BD" w14:textId="77777777" w:rsidR="00E65874" w:rsidRPr="00E65874" w:rsidRDefault="00E65874" w:rsidP="00E65874">
      <w:pPr>
        <w:spacing w:after="120" w:line="240" w:lineRule="auto"/>
        <w:jc w:val="both"/>
        <w:outlineLvl w:val="3"/>
        <w:rPr>
          <w:rFonts w:ascii="Times New Roman" w:eastAsia="Times New Roman" w:hAnsi="Times New Roman" w:cs="Times New Roman"/>
          <w:b/>
          <w:bCs/>
          <w:sz w:val="24"/>
          <w:szCs w:val="24"/>
          <w:lang w:val="en-US" w:eastAsia="ru-MD"/>
        </w:rPr>
      </w:pPr>
      <w:r w:rsidRPr="00E65874">
        <w:rPr>
          <w:rFonts w:ascii="Times New Roman" w:eastAsia="Times New Roman" w:hAnsi="Times New Roman" w:cs="Times New Roman"/>
          <w:b/>
          <w:bCs/>
          <w:sz w:val="24"/>
          <w:szCs w:val="24"/>
          <w:lang w:val="en-US" w:eastAsia="ru-MD"/>
        </w:rPr>
        <w:t>Model for Unemployment Rate</w:t>
      </w:r>
    </w:p>
    <w:p w14:paraId="2DB92CBA"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Unemployment is inversely related to economic activity. GDP growth, exports, and industrial output reduce unemployment, while migration dynamics and weak consumption may increase it.</w:t>
      </w:r>
    </w:p>
    <w:p w14:paraId="6CE98A2E" w14:textId="77777777" w:rsidR="00E65874" w:rsidRDefault="00E65874" w:rsidP="005E4295">
      <w:pPr>
        <w:spacing w:before="100" w:beforeAutospacing="1" w:after="100" w:afterAutospacing="1" w:line="240" w:lineRule="auto"/>
        <w:outlineLvl w:val="2"/>
        <w:rPr>
          <w:rFonts w:asciiTheme="majorBidi" w:eastAsia="Times New Roman" w:hAnsiTheme="majorBidi" w:cstheme="majorBidi"/>
          <w:b/>
          <w:bCs/>
          <w:sz w:val="27"/>
          <w:szCs w:val="27"/>
          <w:lang w:val="en-US" w:eastAsia="ru-MD"/>
        </w:rPr>
      </w:pPr>
    </w:p>
    <w:p w14:paraId="5B4D47AB" w14:textId="401125F2" w:rsidR="005E4295" w:rsidRPr="005E4295" w:rsidRDefault="005E4295" w:rsidP="005E4295">
      <w:pPr>
        <w:spacing w:before="100" w:beforeAutospacing="1" w:after="100" w:afterAutospacing="1" w:line="240" w:lineRule="auto"/>
        <w:outlineLvl w:val="2"/>
        <w:rPr>
          <w:rFonts w:asciiTheme="majorBidi" w:eastAsia="Times New Roman" w:hAnsiTheme="majorBidi" w:cstheme="majorBidi"/>
          <w:b/>
          <w:bCs/>
          <w:sz w:val="27"/>
          <w:szCs w:val="27"/>
          <w:lang w:val="en-US" w:eastAsia="ru-MD"/>
        </w:rPr>
      </w:pPr>
      <w:r w:rsidRPr="005E4295">
        <w:rPr>
          <w:rFonts w:asciiTheme="majorBidi" w:eastAsia="Times New Roman" w:hAnsiTheme="majorBidi" w:cstheme="majorBidi"/>
          <w:b/>
          <w:bCs/>
          <w:sz w:val="27"/>
          <w:szCs w:val="27"/>
          <w:lang w:val="en-US" w:eastAsia="ru-MD"/>
        </w:rPr>
        <w:t>5. Model Selection and Justification</w:t>
      </w:r>
    </w:p>
    <w:p w14:paraId="20D58C93" w14:textId="77777777" w:rsidR="00BE5725" w:rsidRDefault="00BE5725" w:rsidP="00BE5725">
      <w:pPr>
        <w:spacing w:before="100" w:beforeAutospacing="1" w:after="100" w:afterAutospacing="1" w:line="240" w:lineRule="auto"/>
        <w:rPr>
          <w:rFonts w:ascii="Times New Roman" w:eastAsia="Times New Roman" w:hAnsi="Times New Roman" w:cs="Times New Roman"/>
          <w:sz w:val="24"/>
          <w:szCs w:val="24"/>
          <w:lang w:eastAsia="ru-MD"/>
        </w:rPr>
      </w:pPr>
      <w:r w:rsidRPr="00BE5725">
        <w:rPr>
          <w:rFonts w:ascii="Times New Roman" w:eastAsia="Times New Roman" w:hAnsi="Times New Roman" w:cs="Times New Roman"/>
          <w:sz w:val="24"/>
          <w:szCs w:val="24"/>
          <w:lang w:val="en-US" w:eastAsia="ru-MD"/>
        </w:rPr>
        <w:t>Three complementary regression models are proposed for each target variable:</w:t>
      </w:r>
    </w:p>
    <w:p w14:paraId="72B9440C" w14:textId="74C637FD" w:rsidR="00BE5725" w:rsidRPr="00BE5725" w:rsidRDefault="00BE5725" w:rsidP="00BE5725">
      <w:pPr>
        <w:spacing w:before="100" w:beforeAutospacing="1" w:after="100" w:afterAutospacing="1" w:line="240" w:lineRule="auto"/>
        <w:jc w:val="right"/>
        <w:rPr>
          <w:rFonts w:ascii="Times New Roman" w:eastAsia="Times New Roman" w:hAnsi="Times New Roman" w:cs="Times New Roman"/>
          <w:i/>
          <w:iCs/>
          <w:sz w:val="24"/>
          <w:szCs w:val="24"/>
          <w:lang w:val="en-US" w:eastAsia="ru-MD"/>
        </w:rPr>
      </w:pPr>
      <w:r w:rsidRPr="00BE5725">
        <w:rPr>
          <w:rFonts w:ascii="Times New Roman" w:eastAsia="Times New Roman" w:hAnsi="Times New Roman" w:cs="Times New Roman"/>
          <w:i/>
          <w:iCs/>
          <w:sz w:val="24"/>
          <w:szCs w:val="24"/>
          <w:lang w:val="en-US" w:eastAsia="ru-MD"/>
        </w:rPr>
        <w:t>Table 2:</w:t>
      </w:r>
      <w:r w:rsidRPr="00BE5725">
        <w:t xml:space="preserve"> </w:t>
      </w:r>
      <w:r>
        <w:rPr>
          <w:rFonts w:ascii="Times New Roman" w:eastAsia="Times New Roman" w:hAnsi="Times New Roman" w:cs="Times New Roman"/>
          <w:i/>
          <w:iCs/>
          <w:sz w:val="24"/>
          <w:szCs w:val="24"/>
          <w:lang w:val="en-US" w:eastAsia="ru-MD"/>
        </w:rPr>
        <w:t>R</w:t>
      </w:r>
      <w:r w:rsidRPr="00BE5725">
        <w:rPr>
          <w:rFonts w:ascii="Times New Roman" w:eastAsia="Times New Roman" w:hAnsi="Times New Roman" w:cs="Times New Roman"/>
          <w:i/>
          <w:iCs/>
          <w:sz w:val="24"/>
          <w:szCs w:val="24"/>
          <w:lang w:val="en-US" w:eastAsia="ru-MD"/>
        </w:rPr>
        <w:t>egression models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7"/>
        <w:gridCol w:w="3260"/>
        <w:gridCol w:w="3588"/>
      </w:tblGrid>
      <w:tr w:rsidR="00BE5725" w:rsidRPr="00BE5725" w14:paraId="23F98B16" w14:textId="77777777" w:rsidTr="00BE5725">
        <w:trPr>
          <w:tblHeader/>
          <w:tblCellSpacing w:w="15" w:type="dxa"/>
        </w:trPr>
        <w:tc>
          <w:tcPr>
            <w:tcW w:w="2552" w:type="dxa"/>
            <w:vAlign w:val="center"/>
            <w:hideMark/>
          </w:tcPr>
          <w:p w14:paraId="3B7E9EAC" w14:textId="77777777" w:rsidR="00BE5725" w:rsidRPr="00BE5725" w:rsidRDefault="00BE5725" w:rsidP="00BE5725">
            <w:pPr>
              <w:spacing w:after="0" w:line="240" w:lineRule="auto"/>
              <w:jc w:val="center"/>
              <w:rPr>
                <w:rFonts w:ascii="Times New Roman" w:eastAsia="Times New Roman" w:hAnsi="Times New Roman" w:cs="Times New Roman"/>
                <w:b/>
                <w:bCs/>
                <w:sz w:val="24"/>
                <w:szCs w:val="24"/>
                <w:lang w:val="ru-MD" w:eastAsia="ru-MD"/>
              </w:rPr>
            </w:pPr>
            <w:r w:rsidRPr="00BE5725">
              <w:rPr>
                <w:rFonts w:ascii="Times New Roman" w:eastAsia="Times New Roman" w:hAnsi="Times New Roman" w:cs="Times New Roman"/>
                <w:b/>
                <w:bCs/>
                <w:sz w:val="24"/>
                <w:szCs w:val="24"/>
                <w:lang w:val="ru-MD" w:eastAsia="ru-MD"/>
              </w:rPr>
              <w:t>Model</w:t>
            </w:r>
          </w:p>
        </w:tc>
        <w:tc>
          <w:tcPr>
            <w:tcW w:w="3230" w:type="dxa"/>
            <w:vAlign w:val="center"/>
            <w:hideMark/>
          </w:tcPr>
          <w:p w14:paraId="0399F9F7" w14:textId="77777777" w:rsidR="00BE5725" w:rsidRPr="00BE5725" w:rsidRDefault="00BE5725" w:rsidP="00BE5725">
            <w:pPr>
              <w:spacing w:after="0" w:line="240" w:lineRule="auto"/>
              <w:jc w:val="center"/>
              <w:rPr>
                <w:rFonts w:ascii="Times New Roman" w:eastAsia="Times New Roman" w:hAnsi="Times New Roman" w:cs="Times New Roman"/>
                <w:b/>
                <w:bCs/>
                <w:sz w:val="24"/>
                <w:szCs w:val="24"/>
                <w:lang w:val="ru-MD" w:eastAsia="ru-MD"/>
              </w:rPr>
            </w:pPr>
            <w:r w:rsidRPr="00BE5725">
              <w:rPr>
                <w:rFonts w:ascii="Times New Roman" w:eastAsia="Times New Roman" w:hAnsi="Times New Roman" w:cs="Times New Roman"/>
                <w:b/>
                <w:bCs/>
                <w:sz w:val="24"/>
                <w:szCs w:val="24"/>
                <w:lang w:val="ru-MD" w:eastAsia="ru-MD"/>
              </w:rPr>
              <w:t>Description</w:t>
            </w:r>
          </w:p>
        </w:tc>
        <w:tc>
          <w:tcPr>
            <w:tcW w:w="3543" w:type="dxa"/>
            <w:vAlign w:val="center"/>
            <w:hideMark/>
          </w:tcPr>
          <w:p w14:paraId="4517252A" w14:textId="77777777" w:rsidR="00BE5725" w:rsidRPr="00BE5725" w:rsidRDefault="00BE5725" w:rsidP="00BE5725">
            <w:pPr>
              <w:spacing w:after="0" w:line="240" w:lineRule="auto"/>
              <w:jc w:val="center"/>
              <w:rPr>
                <w:rFonts w:ascii="Times New Roman" w:eastAsia="Times New Roman" w:hAnsi="Times New Roman" w:cs="Times New Roman"/>
                <w:b/>
                <w:bCs/>
                <w:sz w:val="24"/>
                <w:szCs w:val="24"/>
                <w:lang w:val="ru-MD" w:eastAsia="ru-MD"/>
              </w:rPr>
            </w:pPr>
            <w:r w:rsidRPr="00BE5725">
              <w:rPr>
                <w:rFonts w:ascii="Times New Roman" w:eastAsia="Times New Roman" w:hAnsi="Times New Roman" w:cs="Times New Roman"/>
                <w:b/>
                <w:bCs/>
                <w:sz w:val="24"/>
                <w:szCs w:val="24"/>
                <w:lang w:val="ru-MD" w:eastAsia="ru-MD"/>
              </w:rPr>
              <w:t>Purpose</w:t>
            </w:r>
          </w:p>
        </w:tc>
      </w:tr>
      <w:tr w:rsidR="00BE5725" w:rsidRPr="00BE5725" w14:paraId="43C03CF1" w14:textId="77777777" w:rsidTr="00BE5725">
        <w:trPr>
          <w:tblCellSpacing w:w="15" w:type="dxa"/>
        </w:trPr>
        <w:tc>
          <w:tcPr>
            <w:tcW w:w="2552" w:type="dxa"/>
            <w:vAlign w:val="center"/>
            <w:hideMark/>
          </w:tcPr>
          <w:p w14:paraId="375981C4" w14:textId="77777777" w:rsidR="00BE5725" w:rsidRPr="00BE5725" w:rsidRDefault="00BE5725" w:rsidP="00BE5725">
            <w:pPr>
              <w:spacing w:after="0" w:line="240" w:lineRule="auto"/>
              <w:rPr>
                <w:rFonts w:ascii="Times New Roman" w:eastAsia="Times New Roman" w:hAnsi="Times New Roman" w:cs="Times New Roman"/>
                <w:sz w:val="24"/>
                <w:szCs w:val="24"/>
                <w:lang w:val="ru-MD" w:eastAsia="ru-MD"/>
              </w:rPr>
            </w:pPr>
            <w:r w:rsidRPr="00BE5725">
              <w:rPr>
                <w:rFonts w:ascii="Times New Roman" w:eastAsia="Times New Roman" w:hAnsi="Times New Roman" w:cs="Times New Roman"/>
                <w:b/>
                <w:bCs/>
                <w:sz w:val="24"/>
                <w:szCs w:val="24"/>
                <w:lang w:val="ru-MD" w:eastAsia="ru-MD"/>
              </w:rPr>
              <w:t>Multiple Linear Regression (OLS)</w:t>
            </w:r>
          </w:p>
        </w:tc>
        <w:tc>
          <w:tcPr>
            <w:tcW w:w="3230" w:type="dxa"/>
            <w:vAlign w:val="center"/>
            <w:hideMark/>
          </w:tcPr>
          <w:p w14:paraId="7FD40D92"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Baseline model capturing linear relationships</w:t>
            </w:r>
          </w:p>
        </w:tc>
        <w:tc>
          <w:tcPr>
            <w:tcW w:w="3543" w:type="dxa"/>
            <w:vAlign w:val="center"/>
            <w:hideMark/>
          </w:tcPr>
          <w:p w14:paraId="0519A449" w14:textId="77777777" w:rsidR="00BE5725" w:rsidRPr="00BE5725" w:rsidRDefault="00BE5725" w:rsidP="00BE5725">
            <w:pPr>
              <w:spacing w:after="0" w:line="240" w:lineRule="auto"/>
              <w:rPr>
                <w:rFonts w:ascii="Times New Roman" w:eastAsia="Times New Roman" w:hAnsi="Times New Roman" w:cs="Times New Roman"/>
                <w:sz w:val="24"/>
                <w:szCs w:val="24"/>
                <w:lang w:val="ru-MD" w:eastAsia="ru-MD"/>
              </w:rPr>
            </w:pPr>
            <w:r w:rsidRPr="00BE5725">
              <w:rPr>
                <w:rFonts w:ascii="Times New Roman" w:eastAsia="Times New Roman" w:hAnsi="Times New Roman" w:cs="Times New Roman"/>
                <w:sz w:val="24"/>
                <w:szCs w:val="24"/>
                <w:lang w:val="ru-MD" w:eastAsia="ru-MD"/>
              </w:rPr>
              <w:t>Benchmark for interpretability</w:t>
            </w:r>
          </w:p>
        </w:tc>
      </w:tr>
      <w:tr w:rsidR="00BE5725" w:rsidRPr="00BE5725" w14:paraId="63A1253C" w14:textId="77777777" w:rsidTr="00BE5725">
        <w:trPr>
          <w:tblCellSpacing w:w="15" w:type="dxa"/>
        </w:trPr>
        <w:tc>
          <w:tcPr>
            <w:tcW w:w="2552" w:type="dxa"/>
            <w:vAlign w:val="center"/>
            <w:hideMark/>
          </w:tcPr>
          <w:p w14:paraId="40EEBAC6" w14:textId="77777777" w:rsidR="00BE5725" w:rsidRPr="00BE5725" w:rsidRDefault="00BE5725" w:rsidP="00BE5725">
            <w:pPr>
              <w:spacing w:after="0" w:line="240" w:lineRule="auto"/>
              <w:rPr>
                <w:rFonts w:ascii="Times New Roman" w:eastAsia="Times New Roman" w:hAnsi="Times New Roman" w:cs="Times New Roman"/>
                <w:sz w:val="24"/>
                <w:szCs w:val="24"/>
                <w:lang w:val="ru-MD" w:eastAsia="ru-MD"/>
              </w:rPr>
            </w:pPr>
            <w:r w:rsidRPr="00BE5725">
              <w:rPr>
                <w:rFonts w:ascii="Times New Roman" w:eastAsia="Times New Roman" w:hAnsi="Times New Roman" w:cs="Times New Roman"/>
                <w:b/>
                <w:bCs/>
                <w:sz w:val="24"/>
                <w:szCs w:val="24"/>
                <w:lang w:val="ru-MD" w:eastAsia="ru-MD"/>
              </w:rPr>
              <w:lastRenderedPageBreak/>
              <w:t>Ridge Regression (L2)</w:t>
            </w:r>
          </w:p>
        </w:tc>
        <w:tc>
          <w:tcPr>
            <w:tcW w:w="3230" w:type="dxa"/>
            <w:vAlign w:val="center"/>
            <w:hideMark/>
          </w:tcPr>
          <w:p w14:paraId="218013E0"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Regularized model that reduces multicollinearity</w:t>
            </w:r>
          </w:p>
        </w:tc>
        <w:tc>
          <w:tcPr>
            <w:tcW w:w="3543" w:type="dxa"/>
            <w:vAlign w:val="center"/>
            <w:hideMark/>
          </w:tcPr>
          <w:p w14:paraId="498738F7"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Increases model stability and generalization</w:t>
            </w:r>
          </w:p>
        </w:tc>
      </w:tr>
      <w:tr w:rsidR="00BE5725" w:rsidRPr="00BE5725" w14:paraId="59C7629A" w14:textId="77777777" w:rsidTr="00BE5725">
        <w:trPr>
          <w:tblCellSpacing w:w="15" w:type="dxa"/>
        </w:trPr>
        <w:tc>
          <w:tcPr>
            <w:tcW w:w="2552" w:type="dxa"/>
            <w:vAlign w:val="center"/>
            <w:hideMark/>
          </w:tcPr>
          <w:p w14:paraId="381E4FE8" w14:textId="77777777" w:rsidR="00BE5725" w:rsidRPr="00BE5725" w:rsidRDefault="00BE5725" w:rsidP="00BE5725">
            <w:pPr>
              <w:spacing w:after="0" w:line="240" w:lineRule="auto"/>
              <w:rPr>
                <w:rFonts w:ascii="Times New Roman" w:eastAsia="Times New Roman" w:hAnsi="Times New Roman" w:cs="Times New Roman"/>
                <w:sz w:val="24"/>
                <w:szCs w:val="24"/>
                <w:lang w:val="ru-MD" w:eastAsia="ru-MD"/>
              </w:rPr>
            </w:pPr>
            <w:r w:rsidRPr="00BE5725">
              <w:rPr>
                <w:rFonts w:ascii="Times New Roman" w:eastAsia="Times New Roman" w:hAnsi="Times New Roman" w:cs="Times New Roman"/>
                <w:b/>
                <w:bCs/>
                <w:sz w:val="24"/>
                <w:szCs w:val="24"/>
                <w:lang w:val="ru-MD" w:eastAsia="ru-MD"/>
              </w:rPr>
              <w:t>Lasso Regression (L1)</w:t>
            </w:r>
          </w:p>
        </w:tc>
        <w:tc>
          <w:tcPr>
            <w:tcW w:w="3230" w:type="dxa"/>
            <w:vAlign w:val="center"/>
            <w:hideMark/>
          </w:tcPr>
          <w:p w14:paraId="7DEC3A57"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Regularized model with automatic feature selection</w:t>
            </w:r>
          </w:p>
        </w:tc>
        <w:tc>
          <w:tcPr>
            <w:tcW w:w="3543" w:type="dxa"/>
            <w:vAlign w:val="center"/>
            <w:hideMark/>
          </w:tcPr>
          <w:p w14:paraId="6A870B3F"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Identifies key predictors by shrinking weak coefficients to zero</w:t>
            </w:r>
          </w:p>
        </w:tc>
      </w:tr>
    </w:tbl>
    <w:p w14:paraId="28978008" w14:textId="7F4F389F" w:rsidR="005E4295" w:rsidRPr="00BE5725" w:rsidRDefault="005E4295" w:rsidP="00BE5725">
      <w:pPr>
        <w:spacing w:before="100" w:beforeAutospacing="1" w:after="100" w:afterAutospacing="1" w:line="240" w:lineRule="auto"/>
        <w:jc w:val="both"/>
        <w:rPr>
          <w:rFonts w:asciiTheme="majorBidi" w:eastAsia="Times New Roman" w:hAnsiTheme="majorBidi" w:cstheme="majorBidi"/>
          <w:sz w:val="24"/>
          <w:szCs w:val="24"/>
          <w:lang w:eastAsia="ru-MD"/>
        </w:rPr>
      </w:pPr>
      <w:r w:rsidRPr="005E4295">
        <w:rPr>
          <w:rFonts w:asciiTheme="majorBidi" w:eastAsia="Times New Roman" w:hAnsiTheme="majorBidi" w:cstheme="majorBidi"/>
          <w:b/>
          <w:bCs/>
          <w:sz w:val="24"/>
          <w:szCs w:val="24"/>
          <w:lang w:val="en-US" w:eastAsia="ru-MD"/>
        </w:rPr>
        <w:t>Filtering technique:</w:t>
      </w:r>
      <w:r w:rsidRPr="005E4295">
        <w:rPr>
          <w:rFonts w:asciiTheme="majorBidi" w:eastAsia="Times New Roman" w:hAnsiTheme="majorBidi" w:cstheme="majorBidi"/>
          <w:sz w:val="24"/>
          <w:szCs w:val="24"/>
          <w:lang w:val="en-US" w:eastAsia="ru-MD"/>
        </w:rPr>
        <w:t xml:space="preserve"> 4-quarter moving averages (MA (4)) for high-volatility variables meet the “filtering” requirement of the assignment.</w:t>
      </w:r>
      <w:r w:rsidR="00BE5725">
        <w:rPr>
          <w:rFonts w:asciiTheme="majorBidi" w:eastAsia="Times New Roman" w:hAnsiTheme="majorBidi" w:cstheme="majorBidi"/>
          <w:sz w:val="24"/>
          <w:szCs w:val="24"/>
          <w:lang w:val="en-US" w:eastAsia="ru-MD"/>
        </w:rPr>
        <w:t xml:space="preserve"> </w:t>
      </w:r>
      <w:r w:rsidRPr="005E4295">
        <w:rPr>
          <w:rFonts w:asciiTheme="majorBidi" w:eastAsia="Times New Roman" w:hAnsiTheme="majorBidi" w:cstheme="majorBidi"/>
          <w:sz w:val="24"/>
          <w:szCs w:val="24"/>
          <w:lang w:val="en-US" w:eastAsia="ru-MD"/>
        </w:rPr>
        <w:t>If nonlinear behavior is observed in Phase 2, optional polynomial terms (degree 2) can be introduced for key predictors such as Energy Prices or Exports.</w:t>
      </w:r>
    </w:p>
    <w:p w14:paraId="6A938CCD" w14:textId="77777777" w:rsidR="00417328" w:rsidRPr="00BC64AC" w:rsidRDefault="00417328" w:rsidP="00417328">
      <w:pPr>
        <w:pBdr>
          <w:top w:val="nil"/>
          <w:left w:val="nil"/>
          <w:bottom w:val="nil"/>
          <w:right w:val="nil"/>
          <w:between w:val="nil"/>
        </w:pBdr>
        <w:jc w:val="both"/>
        <w:rPr>
          <w:rFonts w:asciiTheme="majorBidi" w:hAnsiTheme="majorBidi" w:cstheme="majorBidi"/>
          <w:b/>
          <w:color w:val="EE0000"/>
          <w:sz w:val="24"/>
          <w:szCs w:val="24"/>
          <w:lang w:val="en-US"/>
        </w:rPr>
      </w:pPr>
    </w:p>
    <w:sectPr w:rsidR="00417328" w:rsidRPr="00BC64AC" w:rsidSect="00BC64A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39A8"/>
    <w:multiLevelType w:val="multilevel"/>
    <w:tmpl w:val="6936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C66A23"/>
    <w:multiLevelType w:val="hybridMultilevel"/>
    <w:tmpl w:val="1F24233A"/>
    <w:lvl w:ilvl="0" w:tplc="0819000D">
      <w:start w:val="1"/>
      <w:numFmt w:val="bullet"/>
      <w:lvlText w:val=""/>
      <w:lvlJc w:val="left"/>
      <w:pPr>
        <w:ind w:left="720" w:hanging="360"/>
      </w:pPr>
      <w:rPr>
        <w:rFonts w:ascii="Wingdings" w:hAnsi="Wingdings" w:hint="default"/>
      </w:rPr>
    </w:lvl>
    <w:lvl w:ilvl="1" w:tplc="08190003" w:tentative="1">
      <w:start w:val="1"/>
      <w:numFmt w:val="bullet"/>
      <w:lvlText w:val="o"/>
      <w:lvlJc w:val="left"/>
      <w:pPr>
        <w:ind w:left="1440" w:hanging="360"/>
      </w:pPr>
      <w:rPr>
        <w:rFonts w:ascii="Courier New" w:hAnsi="Courier New" w:cs="Courier New" w:hint="default"/>
      </w:rPr>
    </w:lvl>
    <w:lvl w:ilvl="2" w:tplc="08190005" w:tentative="1">
      <w:start w:val="1"/>
      <w:numFmt w:val="bullet"/>
      <w:lvlText w:val=""/>
      <w:lvlJc w:val="left"/>
      <w:pPr>
        <w:ind w:left="2160" w:hanging="360"/>
      </w:pPr>
      <w:rPr>
        <w:rFonts w:ascii="Wingdings" w:hAnsi="Wingdings" w:hint="default"/>
      </w:rPr>
    </w:lvl>
    <w:lvl w:ilvl="3" w:tplc="08190001" w:tentative="1">
      <w:start w:val="1"/>
      <w:numFmt w:val="bullet"/>
      <w:lvlText w:val=""/>
      <w:lvlJc w:val="left"/>
      <w:pPr>
        <w:ind w:left="2880" w:hanging="360"/>
      </w:pPr>
      <w:rPr>
        <w:rFonts w:ascii="Symbol" w:hAnsi="Symbol" w:hint="default"/>
      </w:rPr>
    </w:lvl>
    <w:lvl w:ilvl="4" w:tplc="08190003" w:tentative="1">
      <w:start w:val="1"/>
      <w:numFmt w:val="bullet"/>
      <w:lvlText w:val="o"/>
      <w:lvlJc w:val="left"/>
      <w:pPr>
        <w:ind w:left="3600" w:hanging="360"/>
      </w:pPr>
      <w:rPr>
        <w:rFonts w:ascii="Courier New" w:hAnsi="Courier New" w:cs="Courier New" w:hint="default"/>
      </w:rPr>
    </w:lvl>
    <w:lvl w:ilvl="5" w:tplc="08190005" w:tentative="1">
      <w:start w:val="1"/>
      <w:numFmt w:val="bullet"/>
      <w:lvlText w:val=""/>
      <w:lvlJc w:val="left"/>
      <w:pPr>
        <w:ind w:left="4320" w:hanging="360"/>
      </w:pPr>
      <w:rPr>
        <w:rFonts w:ascii="Wingdings" w:hAnsi="Wingdings" w:hint="default"/>
      </w:rPr>
    </w:lvl>
    <w:lvl w:ilvl="6" w:tplc="08190001" w:tentative="1">
      <w:start w:val="1"/>
      <w:numFmt w:val="bullet"/>
      <w:lvlText w:val=""/>
      <w:lvlJc w:val="left"/>
      <w:pPr>
        <w:ind w:left="5040" w:hanging="360"/>
      </w:pPr>
      <w:rPr>
        <w:rFonts w:ascii="Symbol" w:hAnsi="Symbol" w:hint="default"/>
      </w:rPr>
    </w:lvl>
    <w:lvl w:ilvl="7" w:tplc="08190003" w:tentative="1">
      <w:start w:val="1"/>
      <w:numFmt w:val="bullet"/>
      <w:lvlText w:val="o"/>
      <w:lvlJc w:val="left"/>
      <w:pPr>
        <w:ind w:left="5760" w:hanging="360"/>
      </w:pPr>
      <w:rPr>
        <w:rFonts w:ascii="Courier New" w:hAnsi="Courier New" w:cs="Courier New" w:hint="default"/>
      </w:rPr>
    </w:lvl>
    <w:lvl w:ilvl="8" w:tplc="08190005" w:tentative="1">
      <w:start w:val="1"/>
      <w:numFmt w:val="bullet"/>
      <w:lvlText w:val=""/>
      <w:lvlJc w:val="left"/>
      <w:pPr>
        <w:ind w:left="6480" w:hanging="360"/>
      </w:pPr>
      <w:rPr>
        <w:rFonts w:ascii="Wingdings" w:hAnsi="Wingdings" w:hint="default"/>
      </w:rPr>
    </w:lvl>
  </w:abstractNum>
  <w:abstractNum w:abstractNumId="2" w15:restartNumberingAfterBreak="0">
    <w:nsid w:val="34D936A1"/>
    <w:multiLevelType w:val="hybridMultilevel"/>
    <w:tmpl w:val="EF7E6798"/>
    <w:lvl w:ilvl="0" w:tplc="0819000F">
      <w:start w:val="1"/>
      <w:numFmt w:val="decimal"/>
      <w:lvlText w:val="%1."/>
      <w:lvlJc w:val="left"/>
      <w:pPr>
        <w:ind w:left="720" w:hanging="360"/>
      </w:pPr>
      <w:rPr>
        <w:rFonts w:hint="default"/>
      </w:rPr>
    </w:lvl>
    <w:lvl w:ilvl="1" w:tplc="08190019" w:tentative="1">
      <w:start w:val="1"/>
      <w:numFmt w:val="lowerLetter"/>
      <w:lvlText w:val="%2."/>
      <w:lvlJc w:val="left"/>
      <w:pPr>
        <w:ind w:left="1440" w:hanging="360"/>
      </w:pPr>
    </w:lvl>
    <w:lvl w:ilvl="2" w:tplc="0819001B" w:tentative="1">
      <w:start w:val="1"/>
      <w:numFmt w:val="lowerRoman"/>
      <w:lvlText w:val="%3."/>
      <w:lvlJc w:val="right"/>
      <w:pPr>
        <w:ind w:left="2160" w:hanging="180"/>
      </w:pPr>
    </w:lvl>
    <w:lvl w:ilvl="3" w:tplc="0819000F" w:tentative="1">
      <w:start w:val="1"/>
      <w:numFmt w:val="decimal"/>
      <w:lvlText w:val="%4."/>
      <w:lvlJc w:val="left"/>
      <w:pPr>
        <w:ind w:left="2880" w:hanging="360"/>
      </w:pPr>
    </w:lvl>
    <w:lvl w:ilvl="4" w:tplc="08190019" w:tentative="1">
      <w:start w:val="1"/>
      <w:numFmt w:val="lowerLetter"/>
      <w:lvlText w:val="%5."/>
      <w:lvlJc w:val="left"/>
      <w:pPr>
        <w:ind w:left="3600" w:hanging="360"/>
      </w:pPr>
    </w:lvl>
    <w:lvl w:ilvl="5" w:tplc="0819001B" w:tentative="1">
      <w:start w:val="1"/>
      <w:numFmt w:val="lowerRoman"/>
      <w:lvlText w:val="%6."/>
      <w:lvlJc w:val="right"/>
      <w:pPr>
        <w:ind w:left="4320" w:hanging="180"/>
      </w:pPr>
    </w:lvl>
    <w:lvl w:ilvl="6" w:tplc="0819000F" w:tentative="1">
      <w:start w:val="1"/>
      <w:numFmt w:val="decimal"/>
      <w:lvlText w:val="%7."/>
      <w:lvlJc w:val="left"/>
      <w:pPr>
        <w:ind w:left="5040" w:hanging="360"/>
      </w:pPr>
    </w:lvl>
    <w:lvl w:ilvl="7" w:tplc="08190019" w:tentative="1">
      <w:start w:val="1"/>
      <w:numFmt w:val="lowerLetter"/>
      <w:lvlText w:val="%8."/>
      <w:lvlJc w:val="left"/>
      <w:pPr>
        <w:ind w:left="5760" w:hanging="360"/>
      </w:pPr>
    </w:lvl>
    <w:lvl w:ilvl="8" w:tplc="0819001B" w:tentative="1">
      <w:start w:val="1"/>
      <w:numFmt w:val="lowerRoman"/>
      <w:lvlText w:val="%9."/>
      <w:lvlJc w:val="right"/>
      <w:pPr>
        <w:ind w:left="6480" w:hanging="180"/>
      </w:pPr>
    </w:lvl>
  </w:abstractNum>
  <w:num w:numId="1" w16cid:durableId="1025012113">
    <w:abstractNumId w:val="0"/>
  </w:num>
  <w:num w:numId="2" w16cid:durableId="244151416">
    <w:abstractNumId w:val="2"/>
  </w:num>
  <w:num w:numId="3" w16cid:durableId="213177633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B4505"/>
    <w:rsid w:val="00020318"/>
    <w:rsid w:val="0002297C"/>
    <w:rsid w:val="000336C4"/>
    <w:rsid w:val="00083A87"/>
    <w:rsid w:val="000947E9"/>
    <w:rsid w:val="000C7D78"/>
    <w:rsid w:val="000D1E2A"/>
    <w:rsid w:val="000D574D"/>
    <w:rsid w:val="000E6E30"/>
    <w:rsid w:val="000F0E54"/>
    <w:rsid w:val="00157944"/>
    <w:rsid w:val="0016202B"/>
    <w:rsid w:val="00166365"/>
    <w:rsid w:val="00190E50"/>
    <w:rsid w:val="001B3B0F"/>
    <w:rsid w:val="001D1A6C"/>
    <w:rsid w:val="00202ACD"/>
    <w:rsid w:val="00203F91"/>
    <w:rsid w:val="002A220D"/>
    <w:rsid w:val="002B4EB1"/>
    <w:rsid w:val="002C00EE"/>
    <w:rsid w:val="002D6EB2"/>
    <w:rsid w:val="002F22CA"/>
    <w:rsid w:val="00313DD0"/>
    <w:rsid w:val="00332203"/>
    <w:rsid w:val="00335B64"/>
    <w:rsid w:val="003660CE"/>
    <w:rsid w:val="00367465"/>
    <w:rsid w:val="00370D81"/>
    <w:rsid w:val="00375306"/>
    <w:rsid w:val="0037735E"/>
    <w:rsid w:val="00386923"/>
    <w:rsid w:val="003A390E"/>
    <w:rsid w:val="003F06A1"/>
    <w:rsid w:val="004040EC"/>
    <w:rsid w:val="00417328"/>
    <w:rsid w:val="00437F20"/>
    <w:rsid w:val="004546F7"/>
    <w:rsid w:val="004622ED"/>
    <w:rsid w:val="00467D5E"/>
    <w:rsid w:val="00467E5E"/>
    <w:rsid w:val="004979DE"/>
    <w:rsid w:val="004D7664"/>
    <w:rsid w:val="0051004F"/>
    <w:rsid w:val="00511486"/>
    <w:rsid w:val="00516D8D"/>
    <w:rsid w:val="00553B7D"/>
    <w:rsid w:val="00564D65"/>
    <w:rsid w:val="00576F56"/>
    <w:rsid w:val="00584702"/>
    <w:rsid w:val="005A335F"/>
    <w:rsid w:val="005A3C74"/>
    <w:rsid w:val="005B5DD1"/>
    <w:rsid w:val="005E4295"/>
    <w:rsid w:val="006105D1"/>
    <w:rsid w:val="00652B47"/>
    <w:rsid w:val="006B3238"/>
    <w:rsid w:val="0078165F"/>
    <w:rsid w:val="007D0A69"/>
    <w:rsid w:val="007E5874"/>
    <w:rsid w:val="0080420E"/>
    <w:rsid w:val="00822E3B"/>
    <w:rsid w:val="00827720"/>
    <w:rsid w:val="00833BD6"/>
    <w:rsid w:val="00835BB5"/>
    <w:rsid w:val="00845E62"/>
    <w:rsid w:val="00865ECD"/>
    <w:rsid w:val="00872E2B"/>
    <w:rsid w:val="00873BF9"/>
    <w:rsid w:val="008A3179"/>
    <w:rsid w:val="009137B1"/>
    <w:rsid w:val="009139AD"/>
    <w:rsid w:val="00917F70"/>
    <w:rsid w:val="009317FA"/>
    <w:rsid w:val="00936C71"/>
    <w:rsid w:val="00950041"/>
    <w:rsid w:val="00974AE9"/>
    <w:rsid w:val="009A1F0E"/>
    <w:rsid w:val="009A4B47"/>
    <w:rsid w:val="009B590E"/>
    <w:rsid w:val="009C16EE"/>
    <w:rsid w:val="009D7A14"/>
    <w:rsid w:val="009E16DB"/>
    <w:rsid w:val="00A057D7"/>
    <w:rsid w:val="00A1181E"/>
    <w:rsid w:val="00A80E0B"/>
    <w:rsid w:val="00AB4189"/>
    <w:rsid w:val="00B02C23"/>
    <w:rsid w:val="00B21A76"/>
    <w:rsid w:val="00B27E6C"/>
    <w:rsid w:val="00B56FB8"/>
    <w:rsid w:val="00BB4505"/>
    <w:rsid w:val="00BC64AC"/>
    <w:rsid w:val="00BE5725"/>
    <w:rsid w:val="00BE6A8A"/>
    <w:rsid w:val="00C4713E"/>
    <w:rsid w:val="00C53D2E"/>
    <w:rsid w:val="00C868CD"/>
    <w:rsid w:val="00C95F27"/>
    <w:rsid w:val="00CA09B5"/>
    <w:rsid w:val="00CA2BDC"/>
    <w:rsid w:val="00CB576D"/>
    <w:rsid w:val="00CD1747"/>
    <w:rsid w:val="00CD2A49"/>
    <w:rsid w:val="00CF3C43"/>
    <w:rsid w:val="00D25337"/>
    <w:rsid w:val="00D34461"/>
    <w:rsid w:val="00D45677"/>
    <w:rsid w:val="00D60946"/>
    <w:rsid w:val="00D71A83"/>
    <w:rsid w:val="00DB32A1"/>
    <w:rsid w:val="00DC6AB2"/>
    <w:rsid w:val="00DD3A38"/>
    <w:rsid w:val="00E00739"/>
    <w:rsid w:val="00E0343D"/>
    <w:rsid w:val="00E65874"/>
    <w:rsid w:val="00EA2E5E"/>
    <w:rsid w:val="00EA4AD5"/>
    <w:rsid w:val="00EA524B"/>
    <w:rsid w:val="00ED621F"/>
    <w:rsid w:val="00ED7118"/>
    <w:rsid w:val="00EE3B55"/>
    <w:rsid w:val="00F136D8"/>
    <w:rsid w:val="00F14D83"/>
    <w:rsid w:val="00F40C2F"/>
    <w:rsid w:val="00F445C5"/>
    <w:rsid w:val="00F53B07"/>
    <w:rsid w:val="00F54ABC"/>
    <w:rsid w:val="00F61560"/>
    <w:rsid w:val="00F62661"/>
    <w:rsid w:val="00FA58A6"/>
    <w:rsid w:val="00FB3813"/>
    <w:rsid w:val="00FB6730"/>
    <w:rsid w:val="00FC09EE"/>
    <w:rsid w:val="00FD3FDF"/>
    <w:rsid w:val="00FF589C"/>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7EFBA"/>
  <w15:docId w15:val="{566AECB3-8B45-4A52-90EE-33E97EA5C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FB67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B6730"/>
    <w:rPr>
      <w:rFonts w:ascii="Courier New" w:eastAsia="Times New Roman" w:hAnsi="Courier New" w:cs="Courier New"/>
      <w:sz w:val="20"/>
      <w:szCs w:val="20"/>
    </w:rPr>
  </w:style>
  <w:style w:type="paragraph" w:styleId="a3">
    <w:name w:val="No Spacing"/>
    <w:uiPriority w:val="1"/>
    <w:qFormat/>
    <w:rsid w:val="00FB6730"/>
    <w:pPr>
      <w:spacing w:after="0" w:line="240" w:lineRule="auto"/>
    </w:pPr>
    <w:rPr>
      <w:rFonts w:ascii="Calibri" w:eastAsia="Times New Roman" w:hAnsi="Calibri" w:cs="Times New Roman"/>
      <w:lang w:eastAsia="ru-RU"/>
    </w:rPr>
  </w:style>
  <w:style w:type="paragraph" w:styleId="a4">
    <w:name w:val="List Paragraph"/>
    <w:basedOn w:val="a"/>
    <w:uiPriority w:val="34"/>
    <w:qFormat/>
    <w:rsid w:val="000947E9"/>
    <w:pPr>
      <w:ind w:left="720"/>
      <w:contextualSpacing/>
    </w:pPr>
  </w:style>
  <w:style w:type="table" w:styleId="a5">
    <w:name w:val="Table Grid"/>
    <w:basedOn w:val="a1"/>
    <w:uiPriority w:val="39"/>
    <w:rsid w:val="00437F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1">
    <w:name w:val="HTML Code"/>
    <w:basedOn w:val="a0"/>
    <w:uiPriority w:val="99"/>
    <w:semiHidden/>
    <w:unhideWhenUsed/>
    <w:rsid w:val="00437F20"/>
    <w:rPr>
      <w:rFonts w:ascii="Courier New" w:eastAsia="Times New Roman" w:hAnsi="Courier New" w:cs="Courier New"/>
      <w:sz w:val="20"/>
      <w:szCs w:val="20"/>
    </w:rPr>
  </w:style>
  <w:style w:type="character" w:styleId="a6">
    <w:name w:val="Strong"/>
    <w:basedOn w:val="a0"/>
    <w:uiPriority w:val="22"/>
    <w:qFormat/>
    <w:rsid w:val="004040EC"/>
    <w:rPr>
      <w:b/>
      <w:bCs/>
    </w:rPr>
  </w:style>
  <w:style w:type="character" w:styleId="a7">
    <w:name w:val="Hyperlink"/>
    <w:basedOn w:val="a0"/>
    <w:uiPriority w:val="99"/>
    <w:unhideWhenUsed/>
    <w:rsid w:val="0016202B"/>
    <w:rPr>
      <w:color w:val="0563C1" w:themeColor="hyperlink"/>
      <w:u w:val="single"/>
    </w:rPr>
  </w:style>
  <w:style w:type="character" w:styleId="a8">
    <w:name w:val="Unresolved Mention"/>
    <w:basedOn w:val="a0"/>
    <w:uiPriority w:val="99"/>
    <w:semiHidden/>
    <w:unhideWhenUsed/>
    <w:rsid w:val="0016202B"/>
    <w:rPr>
      <w:color w:val="605E5C"/>
      <w:shd w:val="clear" w:color="auto" w:fill="E1DFDD"/>
    </w:rPr>
  </w:style>
  <w:style w:type="character" w:styleId="a9">
    <w:name w:val="FollowedHyperlink"/>
    <w:basedOn w:val="a0"/>
    <w:uiPriority w:val="99"/>
    <w:semiHidden/>
    <w:unhideWhenUsed/>
    <w:rsid w:val="00203F91"/>
    <w:rPr>
      <w:color w:val="954F72" w:themeColor="followedHyperlink"/>
      <w:u w:val="single"/>
    </w:rPr>
  </w:style>
  <w:style w:type="paragraph" w:styleId="aa">
    <w:name w:val="Normal (Web)"/>
    <w:basedOn w:val="a"/>
    <w:uiPriority w:val="99"/>
    <w:semiHidden/>
    <w:unhideWhenUsed/>
    <w:rsid w:val="005E4295"/>
    <w:pPr>
      <w:spacing w:before="100" w:beforeAutospacing="1" w:after="100" w:afterAutospacing="1" w:line="240" w:lineRule="auto"/>
    </w:pPr>
    <w:rPr>
      <w:rFonts w:ascii="Times New Roman" w:eastAsia="Times New Roman" w:hAnsi="Times New Roman" w:cs="Times New Roman"/>
      <w:sz w:val="24"/>
      <w:szCs w:val="24"/>
      <w:lang w:val="ru-MD" w:eastAsia="ru-MD"/>
    </w:rPr>
  </w:style>
  <w:style w:type="character" w:styleId="ab">
    <w:name w:val="Emphasis"/>
    <w:basedOn w:val="a0"/>
    <w:uiPriority w:val="20"/>
    <w:qFormat/>
    <w:rsid w:val="005E429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886416">
      <w:bodyDiv w:val="1"/>
      <w:marLeft w:val="0"/>
      <w:marRight w:val="0"/>
      <w:marTop w:val="0"/>
      <w:marBottom w:val="0"/>
      <w:divBdr>
        <w:top w:val="none" w:sz="0" w:space="0" w:color="auto"/>
        <w:left w:val="none" w:sz="0" w:space="0" w:color="auto"/>
        <w:bottom w:val="none" w:sz="0" w:space="0" w:color="auto"/>
        <w:right w:val="none" w:sz="0" w:space="0" w:color="auto"/>
      </w:divBdr>
    </w:div>
    <w:div w:id="439497344">
      <w:bodyDiv w:val="1"/>
      <w:marLeft w:val="0"/>
      <w:marRight w:val="0"/>
      <w:marTop w:val="0"/>
      <w:marBottom w:val="0"/>
      <w:divBdr>
        <w:top w:val="none" w:sz="0" w:space="0" w:color="auto"/>
        <w:left w:val="none" w:sz="0" w:space="0" w:color="auto"/>
        <w:bottom w:val="none" w:sz="0" w:space="0" w:color="auto"/>
        <w:right w:val="none" w:sz="0" w:space="0" w:color="auto"/>
      </w:divBdr>
    </w:div>
    <w:div w:id="439881665">
      <w:bodyDiv w:val="1"/>
      <w:marLeft w:val="0"/>
      <w:marRight w:val="0"/>
      <w:marTop w:val="0"/>
      <w:marBottom w:val="0"/>
      <w:divBdr>
        <w:top w:val="none" w:sz="0" w:space="0" w:color="auto"/>
        <w:left w:val="none" w:sz="0" w:space="0" w:color="auto"/>
        <w:bottom w:val="none" w:sz="0" w:space="0" w:color="auto"/>
        <w:right w:val="none" w:sz="0" w:space="0" w:color="auto"/>
      </w:divBdr>
    </w:div>
    <w:div w:id="493495963">
      <w:bodyDiv w:val="1"/>
      <w:marLeft w:val="0"/>
      <w:marRight w:val="0"/>
      <w:marTop w:val="0"/>
      <w:marBottom w:val="0"/>
      <w:divBdr>
        <w:top w:val="none" w:sz="0" w:space="0" w:color="auto"/>
        <w:left w:val="none" w:sz="0" w:space="0" w:color="auto"/>
        <w:bottom w:val="none" w:sz="0" w:space="0" w:color="auto"/>
        <w:right w:val="none" w:sz="0" w:space="0" w:color="auto"/>
      </w:divBdr>
    </w:div>
    <w:div w:id="834494242">
      <w:bodyDiv w:val="1"/>
      <w:marLeft w:val="0"/>
      <w:marRight w:val="0"/>
      <w:marTop w:val="0"/>
      <w:marBottom w:val="0"/>
      <w:divBdr>
        <w:top w:val="none" w:sz="0" w:space="0" w:color="auto"/>
        <w:left w:val="none" w:sz="0" w:space="0" w:color="auto"/>
        <w:bottom w:val="none" w:sz="0" w:space="0" w:color="auto"/>
        <w:right w:val="none" w:sz="0" w:space="0" w:color="auto"/>
      </w:divBdr>
    </w:div>
    <w:div w:id="870193245">
      <w:bodyDiv w:val="1"/>
      <w:marLeft w:val="0"/>
      <w:marRight w:val="0"/>
      <w:marTop w:val="0"/>
      <w:marBottom w:val="0"/>
      <w:divBdr>
        <w:top w:val="none" w:sz="0" w:space="0" w:color="auto"/>
        <w:left w:val="none" w:sz="0" w:space="0" w:color="auto"/>
        <w:bottom w:val="none" w:sz="0" w:space="0" w:color="auto"/>
        <w:right w:val="none" w:sz="0" w:space="0" w:color="auto"/>
      </w:divBdr>
    </w:div>
    <w:div w:id="1425226789">
      <w:bodyDiv w:val="1"/>
      <w:marLeft w:val="0"/>
      <w:marRight w:val="0"/>
      <w:marTop w:val="0"/>
      <w:marBottom w:val="0"/>
      <w:divBdr>
        <w:top w:val="none" w:sz="0" w:space="0" w:color="auto"/>
        <w:left w:val="none" w:sz="0" w:space="0" w:color="auto"/>
        <w:bottom w:val="none" w:sz="0" w:space="0" w:color="auto"/>
        <w:right w:val="none" w:sz="0" w:space="0" w:color="auto"/>
      </w:divBdr>
    </w:div>
    <w:div w:id="1534616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data/merged_quarterly.csv"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data/merged_quarterly.csv"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0B975C-ACA1-418B-8C4C-0B53866C8C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1</Pages>
  <Words>880</Words>
  <Characters>5022</Characters>
  <Application>Microsoft Office Word</Application>
  <DocSecurity>0</DocSecurity>
  <Lines>41</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Максим Гущук</dc:creator>
  <cp:lastModifiedBy>Igor Latii</cp:lastModifiedBy>
  <cp:revision>39</cp:revision>
  <cp:lastPrinted>2020-09-04T07:12:00Z</cp:lastPrinted>
  <dcterms:created xsi:type="dcterms:W3CDTF">2020-09-04T07:11:00Z</dcterms:created>
  <dcterms:modified xsi:type="dcterms:W3CDTF">2025-11-05T08:07:00Z</dcterms:modified>
</cp:coreProperties>
</file>