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2 de [1]. Página 4 de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a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`power_system_database`.`power_system_case`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`ID`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`Title`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`Author`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`Description`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`Power Base`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`Case Date`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`Publication Date`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`ID_UNIQUE` (`ID`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COMMENT = 'This is the table for the power system cases';</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3 de [1]. Página 4 de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(kV),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`power_system_database`.`bus`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`Bus Number`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`case ID`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`Sequencial Number`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`Bus name`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`Voltage`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`Phase`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`Voltage Base`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`Desired Voltage`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`Max Reactive Power`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`Min Power Reactive`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`Max Voltage`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`Min Voltage`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(`Bus Number`, `case 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INDEX `case ID_idx` (`case ID`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CONSTRAINT `case 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(`case 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`power_system_database`.`power_system_case` (`ID`)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ON DELETE NO ACTION</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ON UPDATE NO ACTION)</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COMMENT = 'This the table for buses.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e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Um atributo da Figura 3 [1], página 5 de transmissão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4 tipos predefinidos, que são: 0 - barra não regulada, 1 - barra regulada em potência reativa 2 - barra regulada em tensão 4 - barra regulada em tensão e potência reativa. Porém, existe algumas exceções em que o usuário tem de adicionar novos tipos de barra além do padrão, e isso é exclusivo para o caso base em questão. (IEEE Committee Report, 1973). Assim, é necessário que o ID do caso base seja chave primária estrangeira junto ao ID do próprio tipo de barra, para que estes casos sejam possíveis no banco.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Toda barra pode ser classificada em algum dos tipos de barra e isso é, na prática, feito por meio de uma terceira relação que contenha as chaves primárias de ambas as relações anteriores.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Um atributo da Figura 5 de [1], página 6 de [1]. Tabela “Line segment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“Overhead Line Spacings” [2] e também a “Undergroud Line Spacing” da  página 4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possibilitaria, se necessário, novas formas de espaçamento para um caso particular específico.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fase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Material, tamanho, filamento, resistência, diâmetro, capacidade de corrente, GMR, diâmetro Isolamento, screen e externo, cobre,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“Conductor data”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características dos condutores, seja de fase ou de neutro, de cada ramo são importantes para descrição do caso base. Dentre elas: material, tamanho, filamento, resistência, diâmetro, capacidade de corrente, GMR, diâmetro isolamento, screen e externo, cobre, capacidade.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cobre,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“Conductor data” [2]</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da forma de espaçamento (chave estrangeira) e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Configuração, faseamento, ID condutor fase (chave estrangeira),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Referência: </w:t>
      </w:r>
      <w:r w:rsidRPr="00471BF8">
        <w:rPr>
          <w:rFonts w:ascii="Arial" w:eastAsia="Times New Roman" w:hAnsi="Arial" w:cs="Arial"/>
          <w:color w:val="000000"/>
          <w:sz w:val="18"/>
          <w:szCs w:val="18"/>
        </w:rPr>
        <w:t>Um atributo da Figura 5, página 6 de transmissão [1]. Tabela “Overhead Line Configuration Data” da página 4 e “Underground Configuration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faseamento e espaçamento de sistemas de distribuição de energia.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 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Um atributo da Figura 3 e 5 de transmissão. Figura 10.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áreas representam o local em que uma barra ou ramo está inserido. É representado por um ID e uma descrição. Como este valor é único para cada caso base, seu ID se torna chave estrangeira. Para casos de intercâmbio a área também ganha um código, representado por meio do atributo de mesmo nome.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área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área (chave estrangeira), ID do caso base (chave estrangeira)</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zona,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 número sequencial</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Load Model Codes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Spot Load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possui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Distributed Load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distruibída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ramo (chave estrangeira),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descrição, relação de transformação, ângulo de fase final, tensão em alta, tensão em baixa, limite mínimo de tensão, limite máximo de tensão, limite mínimo de potência, limite máximo de potência, step,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(pag 7) [1] e Transformer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possui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barra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(pag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a a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  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atributo “Control Bus” da Tabela 5 (pag 5).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potência ativa e reativa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Fase, conexão, largura de banda, razão PT, CT ratings,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conectadas em barras. Os reguladores de tensão são descritos por meio de número sequencial, fase, conexão, largura de banda, razão PT, CT ratings,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“Tie Lines”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barra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“tie lines”.</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471BF8"/>
    <w:rsid w:val="001A3CD9"/>
    <w:rsid w:val="001B6E79"/>
    <w:rsid w:val="00245658"/>
    <w:rsid w:val="0025043D"/>
    <w:rsid w:val="002C7D23"/>
    <w:rsid w:val="00332B07"/>
    <w:rsid w:val="003D4312"/>
    <w:rsid w:val="00471BF8"/>
    <w:rsid w:val="004A78B6"/>
    <w:rsid w:val="00500682"/>
    <w:rsid w:val="006337E7"/>
    <w:rsid w:val="0068640D"/>
    <w:rsid w:val="006B1DF6"/>
    <w:rsid w:val="0070636A"/>
    <w:rsid w:val="00764091"/>
    <w:rsid w:val="007E6C0A"/>
    <w:rsid w:val="0083274C"/>
    <w:rsid w:val="00876771"/>
    <w:rsid w:val="008F46AF"/>
    <w:rsid w:val="009C13CB"/>
    <w:rsid w:val="009E153A"/>
    <w:rsid w:val="009F7545"/>
    <w:rsid w:val="00A23578"/>
    <w:rsid w:val="00A5284F"/>
    <w:rsid w:val="00A8672C"/>
    <w:rsid w:val="00B15AF1"/>
    <w:rsid w:val="00B65791"/>
    <w:rsid w:val="00BB709C"/>
    <w:rsid w:val="00C226B9"/>
    <w:rsid w:val="00CE73CC"/>
    <w:rsid w:val="00D83108"/>
    <w:rsid w:val="00D922E0"/>
    <w:rsid w:val="00EC5440"/>
    <w:rsid w:val="00F819CD"/>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2355</Words>
  <Characters>12722</Characters>
  <Application>Microsoft Office Word</Application>
  <DocSecurity>0</DocSecurity>
  <Lines>106</Lines>
  <Paragraphs>30</Paragraphs>
  <ScaleCrop>false</ScaleCrop>
  <Company>Microsoft</Company>
  <LinksUpToDate>false</LinksUpToDate>
  <CharactersWithSpaces>15047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3</cp:revision>
  <dcterms:created xsi:type="dcterms:W3CDTF">2015-06-28T19:22:00Z</dcterms:created>
  <dcterms:modified xsi:type="dcterms:W3CDTF">2015-06-28T19:22:00Z</dcterms:modified>
</cp:coreProperties>
</file>