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80"/>
        <w:jc w:val="center"/>
      </w:pPr>
      <w:r>
        <w:rPr>
          <w:b/>
          <w:bCs/>
          <w:color w:val="2E75B6"/>
          <w:sz w:val="28"/>
          <w:szCs w:val="28"/>
        </w:rPr>
        <w:t xml:space="preserve">CASE TÉCNICO</w:t>
      </w:r>
    </w:p>
    <w:p>
      <w:pPr>
        <w:spacing w:before="0" w:after="120"/>
        <w:jc w:val="center"/>
      </w:pPr>
      <w:r>
        <w:rPr>
          <w:b/>
          <w:bCs/>
          <w:color w:val="1F4E79"/>
          <w:sz w:val="40"/>
          <w:szCs w:val="40"/>
        </w:rPr>
        <w:t xml:space="preserve">Analista de Dados — Crédito Corporativo</w:t>
      </w:r>
    </w:p>
    <w:p>
      <w:pPr>
        <w:pBdr>
          <w:bottom w:val="single" w:color="2E75B6" w:sz="6"/>
        </w:pBdr>
        <w:spacing w:before="0" w:after="160"/>
        <w:jc w:val="center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200"/>
        <w:jc w:val="center"/>
      </w:pPr>
      <w:r>
        <w:rPr>
          <w:i/>
          <w:iCs/>
          <w:color w:val="666666"/>
          <w:sz w:val="24"/>
          <w:szCs w:val="24"/>
        </w:rPr>
        <w:t xml:space="preserve">Portfólio Corporativo  |  Análise de Crédito  |  Dashboard Executivo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Candidato: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Igor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Posição: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Analista de Dados Pleno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Data: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Março / 2026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0"/>
        <w:jc w:val="center"/>
      </w:pPr>
      <w:r>
        <w:rPr>
          <w:i/>
          <w:iCs/>
          <w:color w:val="888888"/>
          <w:sz w:val="18"/>
          <w:szCs w:val="18"/>
        </w:rPr>
        <w:t xml:space="preserve">Nota técnica: As queries foram desenvolvidas e testadas em SQL Server Developer Edition (ambiente local de prototipagem) e o script entregue está convertido para sintaxe Amazon Athena (Presto/Trino). O mockup do dashboard foi construído em HTML interativo, simulando a experiência do Amazon QuickSight. A lógica analítica, os KPIs e a estrutura das views foram desenhados desde o início para produção em Athena + QuickSight.</w:t>
      </w:r>
    </w:p>
    <w:p>
      <w:r>
        <w:br w:type="page"/>
      </w:r>
    </w:p>
    <w:p>
      <w:pPr>
        <w:pStyle w:val="Heading1"/>
        <w:shd w:fill="1F4E79" w:val="clear"/>
        <w:spacing w:before="360" w:after="120"/>
      </w:pPr>
      <w:r>
        <w:rPr>
          <w:b/>
          <w:bCs/>
          <w:color w:val="FFFFFF"/>
          <w:sz w:val="28"/>
          <w:szCs w:val="28"/>
        </w:rPr>
        <w:t xml:space="preserve">PARTE 1 — Análise de Metadados</w:t>
      </w:r>
    </w:p>
    <w:p>
      <w:pPr>
        <w:pStyle w:val="Heading2"/>
        <w:pBdr>
          <w:bottom w:val="single" w:color="2E75B6" w:sz="2"/>
        </w:pBdr>
        <w:spacing w:before="240" w:after="80"/>
      </w:pPr>
      <w:r>
        <w:rPr>
          <w:b/>
          <w:bCs/>
          <w:color w:val="1F4E79"/>
          <w:sz w:val="24"/>
          <w:szCs w:val="24"/>
        </w:rPr>
        <w:t xml:space="preserve">1.1 — Interpretação da Estrutura de Dados</w:t>
      </w:r>
    </w:p>
    <w:p>
      <w:pPr>
        <w:pStyle w:val="Heading3"/>
        <w:spacing w:before="160" w:after="60"/>
      </w:pPr>
      <w:r>
        <w:rPr>
          <w:b/>
          <w:bCs/>
          <w:color w:val="2E75B6"/>
          <w:sz w:val="22"/>
          <w:szCs w:val="22"/>
        </w:rPr>
        <w:t xml:space="preserve">a) Relacionamentos entre as tabelas</w:t>
      </w:r>
    </w:p>
    <w:p>
      <w:pPr>
        <w:spacing w:before="60" w:after="60"/>
        <w:jc w:val="both"/>
      </w:pPr>
      <w:r>
        <w:rPr>
          <w:b/>
          <w:bCs/>
          <w:color w:val="333333"/>
          <w:sz w:val="22"/>
          <w:szCs w:val="22"/>
        </w:rPr>
        <w:t xml:space="preserve">clientes</w:t>
      </w:r>
      <w:r>
        <w:rPr>
          <w:color w:val="333333"/>
          <w:sz w:val="22"/>
          <w:szCs w:val="22"/>
        </w:rPr>
        <w:t xml:space="preserve"> é a tabela central do modelo. Todas as demais tabelas se relacionam com ela via </w:t>
      </w:r>
      <w:r>
        <w:rPr>
          <w:b/>
          <w:bCs/>
          <w:color w:val="333333"/>
          <w:sz w:val="22"/>
          <w:szCs w:val="22"/>
        </w:rPr>
        <w:t xml:space="preserve">cliente_id</w:t>
      </w:r>
      <w:r>
        <w:rPr>
          <w:color w:val="333333"/>
          <w:sz w:val="22"/>
          <w:szCs w:val="22"/>
        </w:rPr>
        <w:t xml:space="preserve">, formando uma arquitetura estrela: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2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Tabela Origem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Tabela Destino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Cardinalidade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clientes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operacoes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1:N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1 → N operações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Múltiplas operações de crédito por cliente (ativas, liquidadas, vencidas)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clientes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ratings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1:N temporal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1 → N ratings mensais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Histórico mensal de rating — série mar/2025 a fev/2026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clientes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limites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1:N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1 → N tipos de limite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Global, Trade Finance, Safra, Garantias por cliente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clientes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exposicoes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1:N temporal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1 → N posições mensais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Consolidado mensal — set/2025 a fev/2026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60" w:after="60"/>
      </w:pPr>
      <w:r>
        <w:rPr>
          <w:b/>
          <w:bCs/>
          <w:color w:val="2E75B6"/>
          <w:sz w:val="22"/>
          <w:szCs w:val="22"/>
        </w:rPr>
        <w:t xml:space="preserve">b) Chaves primárias e estrangeiras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Chave Primária (PK)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Chave Estrangeira (FK)</w:t>
            </w:r>
          </w:p>
        </w:tc>
        <w:tc>
          <w:tcPr>
            <w:tcW w:type="dxa" w:w="2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Obs.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clientes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cliente_id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— (tabela pai)</w:t>
            </w:r>
          </w:p>
        </w:tc>
        <w:tc>
          <w:tcPr>
            <w:tcW w:type="dxa" w:w="2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Identificador único do cliente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operacoes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operacao_id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cliente_id → clientes</w:t>
            </w:r>
          </w:p>
        </w:tc>
        <w:tc>
          <w:tcPr>
            <w:tcW w:type="dxa" w:w="2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PK simples; FK garante existência do cliente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ratings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(cliente_id, data_referencia)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cliente_id → clientes</w:t>
            </w:r>
          </w:p>
        </w:tc>
        <w:tc>
          <w:tcPr>
            <w:tcW w:type="dxa" w:w="2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PK composta — 1 rating por cliente por mês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limites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(cliente_id, tipo_limite)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cliente_id → clientes</w:t>
            </w:r>
          </w:p>
        </w:tc>
        <w:tc>
          <w:tcPr>
            <w:tcW w:type="dxa" w:w="2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PK composta — 1 limite por tipo por cliente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exposicoes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(cliente_id, data_referencia)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cliente_id → clientes</w:t>
            </w:r>
          </w:p>
        </w:tc>
        <w:tc>
          <w:tcPr>
            <w:tcW w:type="dxa" w:w="2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PK composta — 1 posição por cliente por mês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60" w:after="60"/>
      </w:pPr>
      <w:r>
        <w:rPr>
          <w:b/>
          <w:bCs/>
          <w:color w:val="2E75B6"/>
          <w:sz w:val="22"/>
          <w:szCs w:val="22"/>
        </w:rPr>
        <w:t xml:space="preserve">c) Informações sensíveis omitidas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CNPJ e Razão Social — substituídos por identificadores genéricos (CLI###)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Nome de aprovadores e analistas — substituídos por cargos/instâncias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Dados cadastrais completos — endereço, representantes legais, grupo econômico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Detalhes das garantias — número de registro, avalistas, valor de avaliação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Condições comerciais — spreads negociados, covenants financeiros, taxas diferenciadas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Histórico de inadimplência, renegociações e processos judiciais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Informações estratégicas — pipeline de operações, atas de Comitê de Crédito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60" w:after="60"/>
      </w:pPr>
      <w:r>
        <w:rPr>
          <w:b/>
          <w:bCs/>
          <w:color w:val="2E75B6"/>
          <w:sz w:val="22"/>
          <w:szCs w:val="22"/>
        </w:rPr>
        <w:t xml:space="preserve">d) Exposição total vs. exposição descoberta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1F4E79" w:sz="8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Interpretação das métricas de exposição</w:t>
            </w:r>
          </w:p>
          <w:p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 xml:space="preserve">exposicao_total      = montante efetivamente desembolsado ou aprovado — o 'tamanho' da carteira.</w:t>
            </w:r>
          </w:p>
          <w:p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 xml:space="preserve">exposicao_garantida  = parcela coberta por colaterais aceitos (imóveis, penhor, aval bancário, alienação fiduciária).</w:t>
            </w:r>
          </w:p>
          <w:p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 xml:space="preserve">exposicao_descoberta = exposicao_total − exposicao_garantida</w:t>
            </w:r>
          </w:p>
          <w:p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 xml:space="preserve">                     = risco EFETIVO em caso de default — sem possibilidade de recuperação via garantias.</w:t>
            </w:r>
          </w:p>
          <w:p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 xml:space="preserve">Resultado nos dados: exposição descoberta = 25% da total — dentro da meta interna de &lt; 30%.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40" w:after="80"/>
      </w:pPr>
      <w:r>
        <w:rPr>
          <w:b/>
          <w:bCs/>
          <w:color w:val="1F4E79"/>
          <w:sz w:val="24"/>
          <w:szCs w:val="24"/>
        </w:rPr>
        <w:t xml:space="preserve">1.2 — Verificações de Qualidade dos Dados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333333"/>
          <w:sz w:val="22"/>
          <w:szCs w:val="22"/>
        </w:rPr>
        <w:t xml:space="preserve">Integridade contratual: </w:t>
      </w:r>
      <w:r>
        <w:rPr>
          <w:color w:val="333333"/>
          <w:sz w:val="22"/>
          <w:szCs w:val="22"/>
        </w:rPr>
        <w:t xml:space="preserve">valor_utilizado ≤ valor_aprovado (operacoes): uso acima do aprovado indica falha de controle ou erro de carga. Validado — sem violações.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333333"/>
          <w:sz w:val="22"/>
          <w:szCs w:val="22"/>
        </w:rPr>
        <w:t xml:space="preserve">Consistência da decomposição: </w:t>
      </w:r>
      <w:r>
        <w:rPr>
          <w:color w:val="333333"/>
          <w:sz w:val="22"/>
          <w:szCs w:val="22"/>
        </w:rPr>
        <w:t xml:space="preserve">exposicao_descoberta = exposicao_total − exposicao_garantida (exposicoes): desvio &gt; R$0,01 indica problema no pipeline. Validado — base consistente.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333333"/>
          <w:sz w:val="22"/>
          <w:szCs w:val="22"/>
        </w:rPr>
        <w:t xml:space="preserve">Validade da PD: </w:t>
      </w:r>
      <w:r>
        <w:rPr>
          <w:color w:val="333333"/>
          <w:sz w:val="22"/>
          <w:szCs w:val="22"/>
        </w:rPr>
        <w:t xml:space="preserve">pd_12m ∈ [0,1] (ratings): valores fora do intervalo ou NULL inviabilizam o cálculo de PCLD. Validado — sem violações.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333333"/>
          <w:sz w:val="22"/>
          <w:szCs w:val="22"/>
        </w:rPr>
        <w:t xml:space="preserve">Consistência temporal: </w:t>
      </w:r>
      <w:r>
        <w:rPr>
          <w:color w:val="333333"/>
          <w:sz w:val="22"/>
          <w:szCs w:val="22"/>
        </w:rPr>
        <w:t xml:space="preserve">data_aprovacao &lt; data_vencimento (operacoes): vencimento anterior à aprovação é incoerente. Validado — sem violações.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333333"/>
          <w:sz w:val="22"/>
          <w:szCs w:val="22"/>
        </w:rPr>
        <w:t xml:space="preserve">Orphan records: </w:t>
      </w:r>
      <w:r>
        <w:rPr>
          <w:color w:val="333333"/>
          <w:sz w:val="22"/>
          <w:szCs w:val="22"/>
        </w:rPr>
        <w:t xml:space="preserve">Integridade referencial: todos os cliente_id nas tabelas filhas existem em clientes. Validado — base íntegra após deduplicação.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1F4E79" w:sz="8"/>
              <w:bottom w:val="single" w:color="C0C0C0" w:sz="1"/>
              <w:right w:val="single" w:color="C0C0C0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Achado durante a carga — Deduplicação por PK</w:t>
            </w:r>
          </w:p>
          <w:p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 xml:space="preserve">Identificadas duplicidades de chaves primárias na base sintética:</w:t>
            </w:r>
          </w:p>
          <w:p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 xml:space="preserve">  • 3 clientes com cliente_id repetido</w:t>
            </w:r>
          </w:p>
          <w:p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 xml:space="preserve">  • 1 operacao_id duplicado</w:t>
            </w:r>
          </w:p>
          <w:p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 xml:space="preserve">  • 36 ratings com mesma combinação (cliente_id, data_referencia)</w:t>
            </w:r>
          </w:p>
          <w:p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 xml:space="preserve">  • 3 limites com mesma combinação (cliente_id, tipo_limite)</w:t>
            </w:r>
          </w:p>
          <w:p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 xml:space="preserve">Tratamento: IF NOT EXISTS antes de cada INSERT, mantendo 1 registro por entidade.</w:t>
            </w:r>
          </w:p>
          <w:p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 xml:space="preserve">Resultado final: 72 clientes / 222 operações / 864 ratings / 92 limites / 432 exposições.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120"/>
      </w:pPr>
      <w:r>
        <w:rPr>
          <w:b/>
          <w:bCs/>
          <w:color w:val="FFFFFF"/>
          <w:sz w:val="28"/>
          <w:szCs w:val="28"/>
        </w:rPr>
        <w:t xml:space="preserve">PARTE 2 — Consultas SQL</w:t>
      </w:r>
    </w:p>
    <w:p>
      <w:pPr>
        <w:spacing w:before="60" w:after="60"/>
        <w:jc w:val="both"/>
      </w:pPr>
      <w:r>
        <w:rPr>
          <w:color w:val="333333"/>
          <w:sz w:val="22"/>
          <w:szCs w:val="22"/>
        </w:rPr>
        <w:t xml:space="preserve">As queries foram desenvolvidas e testadas em SQL Server Developer Edition (ambiente local de prototipagem). O script entregue está convertido para sintaxe Amazon Athena (Presto/Trino) — stack de produção — com as adaptações documentadas no cabeçalho do arquivo SQL. Abaixo, o resumo analítico de cada questão com os resultados encontrados nos dados.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40" w:after="80"/>
      </w:pPr>
      <w:r>
        <w:rPr>
          <w:b/>
          <w:bCs/>
          <w:color w:val="1F4E79"/>
          <w:sz w:val="24"/>
          <w:szCs w:val="24"/>
        </w:rPr>
        <w:t xml:space="preserve">2.1 — Clientes Ativos com Operações</w:t>
      </w:r>
    </w:p>
    <w:p>
      <w:pPr>
        <w:spacing w:before="60" w:after="60"/>
        <w:jc w:val="both"/>
      </w:pPr>
      <w:r>
        <w:rPr>
          <w:color w:val="333333"/>
          <w:sz w:val="22"/>
          <w:szCs w:val="22"/>
        </w:rPr>
        <w:t xml:space="preserve">Consulta básica com INNER JOIN filtrando operações ativas por cliente.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1F4E79" w:sz="8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Resultado</w:t>
            </w:r>
          </w:p>
          <w:p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 xml:space="preserve">48 clientes com operações ativas | CLI862 lidera: R$ 605M aprovado / utilização 89,4% (acima do alerta de 85%)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40" w:after="80"/>
      </w:pPr>
      <w:r>
        <w:rPr>
          <w:b/>
          <w:bCs/>
          <w:color w:val="1F4E79"/>
          <w:sz w:val="24"/>
          <w:szCs w:val="24"/>
        </w:rPr>
        <w:t xml:space="preserve">2.2 — Exposição por Subsetor (Joins e Agregações)</w:t>
      </w:r>
    </w:p>
    <w:p>
      <w:pPr>
        <w:spacing w:before="60" w:after="60"/>
        <w:jc w:val="both"/>
      </w:pPr>
      <w:r>
        <w:rPr>
          <w:color w:val="333333"/>
          <w:sz w:val="22"/>
          <w:szCs w:val="22"/>
        </w:rPr>
        <w:t xml:space="preserve">CTE para última posição de exposição + HAVING para subsetores com &gt; 5 clientes.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1F4E79" w:sz="8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Resultado</w:t>
            </w:r>
          </w:p>
          <w:p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 xml:space="preserve">Apenas 2 subsetores com &gt; 5 clientes: Produtos Farmacêuticos (R$ 1,07 Bi) e Software e TI (R$ 821 M). Portfólio pulverizado por subsetor — análise de concentração mais representativa ao nível de setor.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40" w:after="80"/>
      </w:pPr>
      <w:r>
        <w:rPr>
          <w:b/>
          <w:bCs/>
          <w:color w:val="1F4E79"/>
          <w:sz w:val="24"/>
          <w:szCs w:val="24"/>
        </w:rPr>
        <w:t xml:space="preserve">2.3 — Evolução de Rating por Segmento (Window Functions)</w:t>
      </w:r>
    </w:p>
    <w:p>
      <w:pPr>
        <w:spacing w:before="60" w:after="60"/>
        <w:jc w:val="both"/>
      </w:pPr>
      <w:r>
        <w:rPr>
          <w:color w:val="333333"/>
          <w:sz w:val="22"/>
          <w:szCs w:val="22"/>
        </w:rPr>
        <w:t xml:space="preserve">LAG() OVER(PARTITION BY) para variação MoM + RANK() para ranking mensal entre segmentos.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1F4E79" w:sz="8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Resultado</w:t>
            </w:r>
          </w:p>
          <w:p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 xml:space="preserve">36 linhas — 3 segmentos × 12 meses. Corporate em 3º lugar em todos os meses com score ~762 (faixa ATENÇÃO). Middle Market lidera o ranking durante todo o período.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40" w:after="80"/>
      </w:pPr>
      <w:r>
        <w:rPr>
          <w:b/>
          <w:bCs/>
          <w:color w:val="1F4E79"/>
          <w:sz w:val="24"/>
          <w:szCs w:val="24"/>
        </w:rPr>
        <w:t xml:space="preserve">2.4 — Clientes em Alerta Combinado</w:t>
      </w:r>
    </w:p>
    <w:p>
      <w:pPr>
        <w:spacing w:before="60" w:after="60"/>
        <w:jc w:val="both"/>
      </w:pPr>
      <w:r>
        <w:t>CTEs encadeadas para duas leituras complementares: (i) recorte estrito do case — deterioração de rating nos últimos 3 meses + utilização &gt; 80% + exposição descoberta &gt; 30% + concentração por subsetor — e (ii) camada operacional de monitoramento (&gt; 75% ou &gt; 25%), mantida para enriquecer a gestão da carteira sem perder aderência ao enunciado.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1F4E79" w:sz="8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Resultado</w:t>
            </w:r>
          </w:p>
          <w:p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 xml:space="preserve">24 clientes em situação de ATENÇÃO. Critério: utilização &gt; 75%. Nenhum cliente atingiu ALTO RISCO (3 fatores combinados). pct_descoberta = 25% para todos — abaixo do limiar crítico de 30%.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40" w:after="80"/>
      </w:pPr>
      <w:r>
        <w:rPr>
          <w:b/>
          <w:bCs/>
          <w:color w:val="1F4E79"/>
          <w:sz w:val="24"/>
          <w:szCs w:val="24"/>
        </w:rPr>
        <w:t xml:space="preserve">2.5 — Análise Estatística Avançada</w:t>
      </w:r>
    </w:p>
    <w:p>
      <w:pPr>
        <w:spacing w:before="60" w:after="60"/>
        <w:jc w:val="both"/>
      </w:pPr>
      <w:r>
        <w:t>Análise estatística completa em camadas: Z-Score por segmento, percentis P25/P50/P75/P95 de exposição, desvio padrão e coeficiente de variação por subsetor, média móvel de 3 meses de rating por cliente, volatilidade mensal por segmento e correlação entre score interno e utilização de limite.</w:t>
      </w:r>
    </w:p>
    <w:p>
      <w:r>
        <w:t>Documentação complementar incluída no script SQL: views específicas para percentis por segmento, média móvel de 3 meses por cliente e volatilidade mensal de rating por segmento, preservando a mesma linha narrativa do case.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1F4E79" w:sz="8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Resultado</w:t>
            </w:r>
          </w:p>
          <w:p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 xml:space="preserve">OUTLIERS    : CLI862 (Z=2,49), CLI402 (Z=2,70), CLI524 (Z=2,25)</w:t>
            </w:r>
          </w:p>
          <w:p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 xml:space="preserve">DISTRIBUIÇÃO: Middle Market com maior heterogeneidade (CV=155,7%)</w:t>
            </w:r>
          </w:p>
          <w:p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 xml:space="preserve">CORRELAÇÃO  : Pearson=0,0176 (FRACA) — limites seguem critérios estratégicos além do score isolado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40" w:after="80"/>
      </w:pPr>
      <w:r>
        <w:rPr>
          <w:b/>
          <w:bCs/>
          <w:color w:val="1F4E79"/>
          <w:sz w:val="24"/>
          <w:szCs w:val="24"/>
        </w:rPr>
        <w:t xml:space="preserve">2.6 — Insights Adicionais</w:t>
      </w:r>
    </w:p>
    <w:p>
      <w:pPr>
        <w:pStyle w:val="Heading3"/>
        <w:spacing w:before="160" w:after="60"/>
      </w:pPr>
      <w:r>
        <w:rPr>
          <w:b/>
          <w:bCs/>
          <w:color w:val="2E75B6"/>
          <w:sz w:val="22"/>
          <w:szCs w:val="22"/>
        </w:rPr>
        <w:t xml:space="preserve">2.6-A — Concentração Setorial vs. Limite Regulatório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6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Setor</w:t>
            </w:r>
          </w:p>
        </w:tc>
        <w:tc>
          <w:tcPr>
            <w:tcW w:type="dxa" w:w="1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Exposição (R$M)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% Portfólio</w:t>
            </w:r>
          </w:p>
        </w:tc>
        <w:tc>
          <w:tcPr>
            <w:tcW w:type="dxa" w:w="3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Regulatório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Tecnologia</w:t>
            </w:r>
          </w:p>
        </w:tc>
        <w:tc>
          <w:tcPr>
            <w:tcW w:type="dxa" w:w="1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1.716,4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18,1%</w:t>
            </w:r>
          </w:p>
        </w:tc>
        <w:tc>
          <w:tcPr>
            <w:tcW w:type="dxa" w:w="3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721C24"/>
                <w:sz w:val="19"/>
                <w:szCs w:val="19"/>
              </w:rPr>
              <w:t xml:space="preserve">ACIMA DO LIMITE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Saúde</w:t>
            </w:r>
          </w:p>
        </w:tc>
        <w:tc>
          <w:tcPr>
            <w:tcW w:type="dxa" w:w="1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1.367,4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14,4%</w:t>
            </w:r>
          </w:p>
        </w:tc>
        <w:tc>
          <w:tcPr>
            <w:tcW w:type="dxa" w:w="3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56404"/>
                <w:sz w:val="19"/>
                <w:szCs w:val="19"/>
              </w:rPr>
              <w:t xml:space="preserve">MONITORAMENTO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Educação</w:t>
            </w:r>
          </w:p>
        </w:tc>
        <w:tc>
          <w:tcPr>
            <w:tcW w:type="dxa" w:w="1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1.327,8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14,0%</w:t>
            </w:r>
          </w:p>
        </w:tc>
        <w:tc>
          <w:tcPr>
            <w:tcW w:type="dxa" w:w="3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56404"/>
                <w:sz w:val="19"/>
                <w:szCs w:val="19"/>
              </w:rPr>
              <w:t xml:space="preserve">MONITORAMENTO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Construção Civil</w:t>
            </w:r>
          </w:p>
        </w:tc>
        <w:tc>
          <w:tcPr>
            <w:tcW w:type="dxa" w:w="1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1.066,4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11,2%</w:t>
            </w:r>
          </w:p>
        </w:tc>
        <w:tc>
          <w:tcPr>
            <w:tcW w:type="dxa" w:w="3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56404"/>
                <w:sz w:val="19"/>
                <w:szCs w:val="19"/>
              </w:rPr>
              <w:t xml:space="preserve">MONITORAMENTO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Químico</w:t>
            </w:r>
          </w:p>
        </w:tc>
        <w:tc>
          <w:tcPr>
            <w:tcW w:type="dxa" w:w="1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966,7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10,2%</w:t>
            </w:r>
          </w:p>
        </w:tc>
        <w:tc>
          <w:tcPr>
            <w:tcW w:type="dxa" w:w="3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56404"/>
                <w:sz w:val="19"/>
                <w:szCs w:val="19"/>
              </w:rPr>
              <w:t xml:space="preserve">MONITORAMENTO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Mineração</w:t>
            </w:r>
          </w:p>
        </w:tc>
        <w:tc>
          <w:tcPr>
            <w:tcW w:type="dxa" w:w="1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859,2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9,1%</w:t>
            </w:r>
          </w:p>
        </w:tc>
        <w:tc>
          <w:tcPr>
            <w:tcW w:type="dxa" w:w="3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7E34"/>
                <w:sz w:val="19"/>
                <w:szCs w:val="19"/>
              </w:rPr>
              <w:t xml:space="preserve">NORMAL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Automotivo</w:t>
            </w:r>
          </w:p>
        </w:tc>
        <w:tc>
          <w:tcPr>
            <w:tcW w:type="dxa" w:w="1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860,9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9,1%</w:t>
            </w:r>
          </w:p>
        </w:tc>
        <w:tc>
          <w:tcPr>
            <w:tcW w:type="dxa" w:w="3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7E34"/>
                <w:sz w:val="19"/>
                <w:szCs w:val="19"/>
              </w:rPr>
              <w:t xml:space="preserve">NORMAL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Agronegócio</w:t>
            </w:r>
          </w:p>
        </w:tc>
        <w:tc>
          <w:tcPr>
            <w:tcW w:type="dxa" w:w="1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705,0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7,4%</w:t>
            </w:r>
          </w:p>
        </w:tc>
        <w:tc>
          <w:tcPr>
            <w:tcW w:type="dxa" w:w="3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7E34"/>
                <w:sz w:val="19"/>
                <w:szCs w:val="19"/>
              </w:rPr>
              <w:t xml:space="preserve">NORMAL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Varejo</w:t>
            </w:r>
          </w:p>
        </w:tc>
        <w:tc>
          <w:tcPr>
            <w:tcW w:type="dxa" w:w="1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576,2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6,1%</w:t>
            </w:r>
          </w:p>
        </w:tc>
        <w:tc>
          <w:tcPr>
            <w:tcW w:type="dxa" w:w="3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7E34"/>
                <w:sz w:val="19"/>
                <w:szCs w:val="19"/>
              </w:rPr>
              <w:t xml:space="preserve">NORMAL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Energia</w:t>
            </w:r>
          </w:p>
        </w:tc>
        <w:tc>
          <w:tcPr>
            <w:tcW w:type="dxa" w:w="1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45,2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0,5%</w:t>
            </w:r>
          </w:p>
        </w:tc>
        <w:tc>
          <w:tcPr>
            <w:tcW w:type="dxa" w:w="3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7E34"/>
                <w:sz w:val="19"/>
                <w:szCs w:val="19"/>
              </w:rPr>
              <w:t xml:space="preserve">NORMAL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60" w:after="60"/>
      </w:pPr>
      <w:r>
        <w:rPr>
          <w:b/>
          <w:bCs/>
          <w:color w:val="2E75B6"/>
          <w:sz w:val="22"/>
          <w:szCs w:val="22"/>
        </w:rPr>
        <w:t xml:space="preserve">2.6-B — Operações Vencidas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1F4E79" w:sz="8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Resultado</w:t>
            </w:r>
          </w:p>
          <w:p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 xml:space="preserve">11 operações com status Vencida:</w:t>
            </w:r>
          </w:p>
          <w:p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 xml:space="preserve">  • Maior exposição : CLI368 — R$ 182,8M, 100 dias vencido (Tecnologia)</w:t>
            </w:r>
          </w:p>
          <w:p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 xml:space="preserve">  • Mais antigo     : CLI318 — 653 dias vencido (Agronegócio)</w:t>
            </w:r>
          </w:p>
          <w:p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 xml:space="preserve">  • Maior risco     : CLI956 — Rating C, PD 31,09%, 2 operações, uma sem garantia (Mineração)</w:t>
            </w:r>
          </w:p>
          <w:p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 xml:space="preserve">Recomendação: CLI956 requer provisionamento integral. CLI318 sugere falha de SLA de cobrança.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60" w:after="60"/>
      </w:pPr>
      <w:r>
        <w:rPr>
          <w:b/>
          <w:bCs/>
          <w:color w:val="2E75B6"/>
          <w:sz w:val="22"/>
          <w:szCs w:val="22"/>
        </w:rPr>
        <w:t xml:space="preserve">2.6-C — Score por Segmento e 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700"/>
        <w:gridCol w:w="2660"/>
      </w:tblGrid>
      <w:tr>
        <w:trPr>
          <w:tblHeader/>
        </w:trP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Segmento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Porte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Clientes</w:t>
            </w:r>
          </w:p>
        </w:tc>
        <w:tc>
          <w:tcPr>
            <w:tcW w:type="dxa" w:w="1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Score Médio</w:t>
            </w:r>
          </w:p>
        </w:tc>
        <w:tc>
          <w:tcPr>
            <w:tcW w:type="dxa" w:w="2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Classificação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Wholesale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Grande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1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865</w:t>
            </w:r>
          </w:p>
        </w:tc>
        <w:tc>
          <w:tcPr>
            <w:tcW w:type="dxa" w:w="2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EXCELENTE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Middle Market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Pequeno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1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838</w:t>
            </w:r>
          </w:p>
        </w:tc>
        <w:tc>
          <w:tcPr>
            <w:tcW w:type="dxa" w:w="2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MUITO BOM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Middle Market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Médio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823</w:t>
            </w:r>
          </w:p>
        </w:tc>
        <w:tc>
          <w:tcPr>
            <w:tcW w:type="dxa" w:w="2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MUITO BOM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Corporate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Grande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22</w:t>
            </w:r>
          </w:p>
        </w:tc>
        <w:tc>
          <w:tcPr>
            <w:tcW w:type="dxa" w:w="1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802</w:t>
            </w:r>
          </w:p>
        </w:tc>
        <w:tc>
          <w:tcPr>
            <w:tcW w:type="dxa" w:w="2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MUITO BOM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Wholesale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Médio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761</w:t>
            </w:r>
          </w:p>
        </w:tc>
        <w:tc>
          <w:tcPr>
            <w:tcW w:type="dxa" w:w="2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56404"/>
                <w:sz w:val="19"/>
                <w:szCs w:val="19"/>
              </w:rPr>
              <w:t xml:space="preserve">ATENCAO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Corporate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Médio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676</w:t>
            </w:r>
          </w:p>
        </w:tc>
        <w:tc>
          <w:tcPr>
            <w:tcW w:type="dxa" w:w="26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CUIDADO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  <w:jc w:val="both"/>
      </w:pPr>
      <w:r>
        <w:rPr>
          <w:color w:val="333333"/>
          <w:sz w:val="22"/>
          <w:szCs w:val="22"/>
        </w:rPr>
        <w:t xml:space="preserve">Achado: Wholesale Grande (865) vs. Médio (761) = 104 pts de diferença no mesmo segmento. Recomenda políticas de concessão diferenciadas por porte.</w:t>
      </w:r>
    </w:p>
    <w:p>
      <w:r>
        <w:br w:type="page"/>
      </w:r>
    </w:p>
    <w:p>
      <w:pPr>
        <w:pStyle w:val="Heading1"/>
        <w:shd w:fill="1F4E79" w:val="clear"/>
        <w:spacing w:before="360" w:after="120"/>
      </w:pPr>
      <w:r>
        <w:rPr>
          <w:b/>
          <w:bCs/>
          <w:color w:val="FFFFFF"/>
          <w:sz w:val="28"/>
          <w:szCs w:val="28"/>
        </w:rPr>
        <w:t xml:space="preserve">PARTE 3 — Dashboard Amazon QuickSight</w:t>
      </w:r>
    </w:p>
    <w:p>
      <w:pPr>
        <w:pStyle w:val="Heading1"/>
      </w:pPr>
      <w:r>
        <w:t>No mockup, os filtros temporais 3M, 6M, 12M e Acumulado foram mantidos por agregarem leitura executiva de tendência e por ajudarem a explicar como o comitê poderia alternar entre visão corrente e acumulada. Os nomes de views no canto dos visuais podem ser usados apenas em versão técnica/de apoio; para apresentação executiva final, recomenda-se ocultá-los para reduzir ruído visual.</w:t>
      </w:r>
    </w:p>
    <w:p>
      <w:pPr>
        <w:spacing w:before="60" w:after="60"/>
        <w:jc w:val="both"/>
      </w:pPr>
      <w:r>
        <w:t>O mockup do dashboard foi construído em HTML interativo como wireframe navegável, simulando fielmente a experiência visual e analítica do Amazon QuickSight: 5 abas, filtros dinâmicos sincronizados, paleta de cores corporativa e KPIs reconciliados com a base tratada. As queries foram prototipadas e testadas localmente em SQL Server Developer Edition e o script final entregue está convertido para sintaxe Athena. Em produção, as views SQL no Athena seriam conectadas diretamente ao QuickSight para geração nativa dos visuais. A opção em HTML não substitui o QuickSight, mas atende bem ao objetivo de mockup/wireframe do case quando essa premissa é explicitada.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40" w:after="80"/>
      </w:pPr>
      <w:r>
        <w:rPr>
          <w:b/>
          <w:bCs/>
          <w:color w:val="1F4E79"/>
          <w:sz w:val="24"/>
          <w:szCs w:val="24"/>
        </w:rPr>
        <w:t xml:space="preserve">3.1 — KPIs Essenciais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600"/>
        <w:gridCol w:w="1200"/>
        <w:gridCol w:w="1300"/>
        <w:gridCol w:w="800"/>
        <w:gridCol w:w="800"/>
        <w:gridCol w:w="60"/>
      </w:tblGrid>
      <w:tr>
        <w:trPr>
          <w:tblHeader/>
        </w:trP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KPI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Fórmula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Meta / Benchmark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Frequência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 Visual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Fonte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View SQL</w:t>
            </w:r>
          </w:p>
        </w:tc>
        <w:tc>
          <w:tcPr>
            <w:tcW w:type="dxa" w:w="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Score Médio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AVG(score_interno) último mês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≥800 Muito Bom | &lt;650 Crítico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Mensal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Semáforo 4 faixas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vw_kpi_ratings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vw_kpi_ratings</w:t>
            </w:r>
          </w:p>
        </w:tc>
        <w:tc>
          <w:tcPr>
            <w:tcW w:type="dxa" w:w="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Exposição Total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SUM(exposicao_total) último mês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Var ≤ ±10% M/M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Mensal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Crescimento vs queda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vw_kpi_exposicao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vw_kpi_exposicao</w:t>
            </w:r>
          </w:p>
        </w:tc>
        <w:tc>
          <w:tcPr>
            <w:tcW w:type="dxa" w:w="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% Descoberta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SUM(descoberta)/SUM(total)×100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&lt; 30% meta | &gt; 40% crítico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Mensal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Verde / Amarelo / Vermelho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vw_kpi_exposicao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vw_kpi_exposicao</w:t>
            </w:r>
          </w:p>
        </w:tc>
        <w:tc>
          <w:tcPr>
            <w:tcW w:type="dxa" w:w="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Utilização Limites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AVG(util/limite) Global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60-75% ideal | &gt; 85% crítico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Mensal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Gauge com faixas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vw_kpi_limites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vw_kpi_limites</w:t>
            </w:r>
          </w:p>
        </w:tc>
        <w:tc>
          <w:tcPr>
            <w:tcW w:type="dxa" w:w="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Clientes em Atenção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COUNT util&gt;75% OU desc&gt;25%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Meta: 0 | Atenção: ≥3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Mensal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Número com trend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vw_kpi_risco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vw_kpi_risco</w:t>
            </w:r>
          </w:p>
        </w:tc>
        <w:tc>
          <w:tcPr>
            <w:tcW w:type="dxa" w:w="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Conc. Máx. Subsetor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MAX(exp_sub/exp_total×100)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&lt; 15% limite | &gt; 10% monit.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Mensal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Semáforo regulatório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vw_kpi_risco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vw_kpi_risco</w:t>
            </w:r>
          </w:p>
        </w:tc>
        <w:tc>
          <w:tcPr>
            <w:tcW w:type="dxa" w:w="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Operações Vencidas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COUNT status='Vencida'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Meta: 0 | &gt; 10 crítico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Semanal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Vermelho se &gt; 0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vw_kpi_operacoes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vw_kpi_operacoes</w:t>
            </w:r>
          </w:p>
        </w:tc>
        <w:tc>
          <w:tcPr>
            <w:tcW w:type="dxa" w:w="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PD Média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AVG(pd_12m×100) último mês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&lt; 1% meta | &gt; 3% crítico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Mensal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Semáforo 3 faixas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vw_kpi_ratings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vw_kpi_ratings</w:t>
            </w:r>
          </w:p>
        </w:tc>
        <w:tc>
          <w:tcPr>
            <w:tcW w:type="dxa" w:w="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40" w:after="80"/>
      </w:pPr>
      <w:r>
        <w:rPr>
          <w:b/>
          <w:bCs/>
          <w:color w:val="1F4E79"/>
          <w:sz w:val="24"/>
          <w:szCs w:val="24"/>
        </w:rPr>
        <w:t xml:space="preserve">3.2 — Estrutura do Dashboard (5 Páginas)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22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Página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Visuais Principais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Fonte SQL</w:t>
            </w:r>
          </w:p>
        </w:tc>
        <w:tc>
          <w:tcPr>
            <w:tcW w:type="dxa" w:w="1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Público-alvo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Visão Geral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5 KPI cards + linha score + donut segmento + barras setor + dist. ratings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vw_kpi_* + vw_score_por_segmento_mes + vw_exposicao_por_setor</w:t>
            </w:r>
          </w:p>
        </w:tc>
        <w:tc>
          <w:tcPr>
            <w:tcW w:type="dxa" w:w="1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Diretoria / Comitê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Análise de Riscos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Alertas + scatter utilização×descoberta + tabela clientes + migração de rating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vw_clientes_em_atencao + vw_migracao_rating</w:t>
            </w:r>
          </w:p>
        </w:tc>
        <w:tc>
          <w:tcPr>
            <w:tcW w:type="dxa" w:w="1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Gerência de Risco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Performance de Limites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4 KPI cards + barras produto + histograma faixas + top 5 + mix garantias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vw_kpi_limites + vw_kpi_operacoes + vw_mix_garantias</w:t>
            </w:r>
          </w:p>
        </w:tc>
        <w:tc>
          <w:tcPr>
            <w:tcW w:type="dxa" w:w="1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Mesa de Crédito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Análises Adicionais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Pricing rating×taxa + score por porte + Z-Score outliers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vw_pricing_por_rating + vw_score_por_segmento_porte + vw_analise_estatistica</w:t>
            </w:r>
          </w:p>
        </w:tc>
        <w:tc>
          <w:tcPr>
            <w:tcW w:type="dxa" w:w="1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Analistas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Glossário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8 KPIs explicados + pipeline de dados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Documentação + fonte SQL View por KPI</w:t>
            </w:r>
          </w:p>
        </w:tc>
        <w:tc>
          <w:tcPr>
            <w:tcW w:type="dxa" w:w="1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Todos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40" w:after="80"/>
      </w:pPr>
      <w:r>
        <w:rPr>
          <w:b/>
          <w:bCs/>
          <w:color w:val="1F4E79"/>
          <w:sz w:val="24"/>
          <w:szCs w:val="24"/>
        </w:rPr>
        <w:t xml:space="preserve">3.3 — Alertas Automáticos (5 Alertas)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333333"/>
          <w:sz w:val="22"/>
          <w:szCs w:val="22"/>
        </w:rPr>
        <w:t xml:space="preserve">Alerta 1: </w:t>
      </w:r>
      <w:r>
        <w:rPr>
          <w:color w:val="333333"/>
          <w:sz w:val="22"/>
          <w:szCs w:val="22"/>
        </w:rPr>
        <w:t xml:space="preserve">Concentração em qualquer subsetor &gt; 15% → Bloquear novas concessões + alerta para Diretor de Crédito e Compliance (mensal).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333333"/>
          <w:sz w:val="22"/>
          <w:szCs w:val="22"/>
        </w:rPr>
        <w:t xml:space="preserve">Alerta 2: </w:t>
      </w:r>
      <w:r>
        <w:rPr>
          <w:color w:val="333333"/>
          <w:sz w:val="22"/>
          <w:szCs w:val="22"/>
        </w:rPr>
        <w:t xml:space="preserve">Cliente com utilização de limite Global &gt; 85% → Acionar analista para revisão de limite e atualização de rating (semanal).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333333"/>
          <w:sz w:val="22"/>
          <w:szCs w:val="22"/>
        </w:rPr>
        <w:t xml:space="preserve">Alerta 3: </w:t>
      </w:r>
      <w:r>
        <w:rPr>
          <w:color w:val="333333"/>
          <w:sz w:val="22"/>
          <w:szCs w:val="22"/>
        </w:rPr>
        <w:t xml:space="preserve">Score médio ponderado &lt; 750 → Reunião emergencial do Comitê de Crédito (mensal).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333333"/>
          <w:sz w:val="22"/>
          <w:szCs w:val="22"/>
        </w:rPr>
        <w:t xml:space="preserve">Alerta 4: </w:t>
      </w:r>
      <w:r>
        <w:rPr>
          <w:color w:val="333333"/>
          <w:sz w:val="22"/>
          <w:szCs w:val="22"/>
        </w:rPr>
        <w:t xml:space="preserve">Operações com status Vencida aumentam 3+ em um mês → Acionar área de recuperação e provisionar conforme BACEN (semanal).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333333"/>
          <w:sz w:val="22"/>
          <w:szCs w:val="22"/>
        </w:rPr>
        <w:t xml:space="preserve">Alerta 5: </w:t>
      </w:r>
      <w:r>
        <w:rPr>
          <w:color w:val="333333"/>
          <w:sz w:val="22"/>
          <w:szCs w:val="22"/>
        </w:rPr>
        <w:t xml:space="preserve">PD média &gt; 2% → Revisar provisões (PCLD) e recompor garantias nos clientes afetados (mensal).</w:t>
      </w:r>
    </w:p>
    <w:p>
      <w:r>
        <w:br w:type="page"/>
      </w:r>
    </w:p>
    <w:p>
      <w:pPr>
        <w:pStyle w:val="Heading1"/>
        <w:shd w:fill="1F4E79" w:val="clear"/>
        <w:spacing w:before="360" w:after="120"/>
      </w:pPr>
      <w:r>
        <w:rPr>
          <w:b/>
          <w:bCs/>
          <w:color w:val="FFFFFF"/>
          <w:sz w:val="28"/>
          <w:szCs w:val="28"/>
        </w:rPr>
        <w:t xml:space="preserve">PARTE 4 — Análise de Negócio: Concentração de Portfólio</w:t>
      </w:r>
    </w:p>
    <w:p>
      <w:pPr>
        <w:spacing w:before="60" w:after="60"/>
        <w:jc w:val="both"/>
      </w:pPr>
      <w:r>
        <w:rPr>
          <w:color w:val="333333"/>
          <w:sz w:val="22"/>
          <w:szCs w:val="22"/>
        </w:rPr>
        <w:t xml:space="preserve">Situação identificada: Tecnologia (18,1%), Saúde (14,4%) e Educação (14,0%) somam 46,5% da exposição total de R$ 9,49 bilhões. Tecnologia individualmente já viola o limite regulatório de 15%.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40" w:after="80"/>
      </w:pPr>
      <w:r>
        <w:rPr>
          <w:b/>
          <w:bCs/>
          <w:color w:val="1F4E79"/>
          <w:sz w:val="24"/>
          <w:szCs w:val="24"/>
        </w:rPr>
        <w:t xml:space="preserve">4.1 — Riscos Identificados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333333"/>
          <w:sz w:val="22"/>
          <w:szCs w:val="22"/>
        </w:rPr>
        <w:t xml:space="preserve">Concentração: </w:t>
      </w:r>
      <w:r>
        <w:rPr>
          <w:color w:val="333333"/>
          <w:sz w:val="22"/>
          <w:szCs w:val="22"/>
        </w:rPr>
        <w:t xml:space="preserve">Risco sistêmico por correlação setorial: crise em Tecnologia, Saúde ou Educação afeta múltiplos clientes simultaneamente, amplificando as perdas e dificultando a recuperação via garantias cruzadas.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333333"/>
          <w:sz w:val="22"/>
          <w:szCs w:val="22"/>
        </w:rPr>
        <w:t xml:space="preserve">Regulatório: </w:t>
      </w:r>
      <w:r>
        <w:rPr>
          <w:color w:val="333333"/>
          <w:sz w:val="22"/>
          <w:szCs w:val="22"/>
        </w:rPr>
        <w:t xml:space="preserve">Risco regulatório: Tecnologia (18,1%) viola o benchmark interno de 15% por setor. Isso eleva o capital regulatório exigido e expõe o portfólio à revisão por auditoria.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333333"/>
          <w:sz w:val="22"/>
          <w:szCs w:val="22"/>
        </w:rPr>
        <w:t xml:space="preserve">Liquidez de Colateral: </w:t>
      </w:r>
      <w:r>
        <w:rPr>
          <w:color w:val="333333"/>
          <w:sz w:val="22"/>
          <w:szCs w:val="22"/>
        </w:rPr>
        <w:t xml:space="preserve">Risco de liquidez de garantias: em cenário de stress setorial, ativos de TI, imóveis educacionais e equipamentos hospitalares podem perder valor e liquidez simultaneamente.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333333"/>
          <w:sz w:val="22"/>
          <w:szCs w:val="22"/>
        </w:rPr>
        <w:t xml:space="preserve">Contágio: </w:t>
      </w:r>
      <w:r>
        <w:rPr>
          <w:color w:val="333333"/>
          <w:sz w:val="22"/>
          <w:szCs w:val="22"/>
        </w:rPr>
        <w:t xml:space="preserve">Risco de contágio em cadeia: no Middle Market, empresas do mesmo setor compartilham cadeias de fornecimento — inadimplência de um cliente âncora pode precipitar deterioração em cascata.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333333"/>
          <w:sz w:val="22"/>
          <w:szCs w:val="22"/>
        </w:rPr>
        <w:t xml:space="preserve">Estratégico: </w:t>
      </w:r>
      <w:r>
        <w:rPr>
          <w:color w:val="333333"/>
          <w:sz w:val="22"/>
          <w:szCs w:val="22"/>
        </w:rPr>
        <w:t xml:space="preserve">Risco de negócio: concentração limita a capacidade de diversificar receita sem agravar riscos já existentes.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40" w:after="80"/>
      </w:pPr>
      <w:r>
        <w:rPr>
          <w:b/>
          <w:bCs/>
          <w:color w:val="1F4E79"/>
          <w:sz w:val="24"/>
          <w:szCs w:val="24"/>
        </w:rPr>
        <w:t xml:space="preserve">4.2 — Plano de Ação (5 Ações)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333333"/>
          <w:sz w:val="22"/>
          <w:szCs w:val="22"/>
        </w:rPr>
        <w:t xml:space="preserve">Hard Limit: </w:t>
      </w:r>
      <w:r>
        <w:rPr>
          <w:color w:val="333333"/>
          <w:sz w:val="22"/>
          <w:szCs w:val="22"/>
        </w:rPr>
        <w:t xml:space="preserve">Hard limit de 15% por setor / 8% por subsetor: implementar via sistema de aprovação com bloqueio automático. Para Tecnologia (18,1%), iniciar plano de descrescimento gradual em 12 meses.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333333"/>
          <w:sz w:val="22"/>
          <w:szCs w:val="22"/>
        </w:rPr>
        <w:t xml:space="preserve">Diversificação: </w:t>
      </w:r>
      <w:r>
        <w:rPr>
          <w:color w:val="333333"/>
          <w:sz w:val="22"/>
          <w:szCs w:val="22"/>
        </w:rPr>
        <w:t xml:space="preserve">Diversificação ativa: criar metas de crescimento para Energia (0,5%), Agronegócio (4,9%) e Automotivo (9,1%). Reduzir teto de aprovação para novos clientes de Tecnologia/Saúde/Educação por 2 exercícios.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333333"/>
          <w:sz w:val="22"/>
          <w:szCs w:val="22"/>
        </w:rPr>
        <w:t xml:space="preserve">Garantias: </w:t>
      </w:r>
      <w:r>
        <w:rPr>
          <w:color w:val="333333"/>
          <w:sz w:val="22"/>
          <w:szCs w:val="22"/>
        </w:rPr>
        <w:t xml:space="preserve">Reforço de garantias: exigir garantias reais adicionais para renovações nos setores concentrados. Priorizar clientes com exposição descoberta &gt; 25%.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333333"/>
          <w:sz w:val="22"/>
          <w:szCs w:val="22"/>
        </w:rPr>
        <w:t xml:space="preserve">Securitização: </w:t>
      </w:r>
      <w:r>
        <w:rPr>
          <w:color w:val="333333"/>
          <w:sz w:val="22"/>
          <w:szCs w:val="22"/>
        </w:rPr>
        <w:t xml:space="preserve">Securitização: avaliar CRI/CRA ou FIDC para securitizar parte da carteira de Educação e Saúde, transferindo risco a investidores institucionais e liberando capital.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333333"/>
          <w:sz w:val="22"/>
          <w:szCs w:val="22"/>
        </w:rPr>
        <w:t xml:space="preserve">Stress Test: </w:t>
      </w:r>
      <w:r>
        <w:rPr>
          <w:color w:val="333333"/>
          <w:sz w:val="22"/>
          <w:szCs w:val="22"/>
        </w:rPr>
        <w:t xml:space="preserve">Stress test setorial trimestral: simular impacto de cenários adversos (juros +200bps, recessão de 3%) nos 3 setores concentrados. Resultados reportados ao Comitê.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40" w:after="80"/>
      </w:pPr>
      <w:r>
        <w:rPr>
          <w:b/>
          <w:bCs/>
          <w:color w:val="1F4E79"/>
          <w:sz w:val="24"/>
          <w:szCs w:val="24"/>
        </w:rPr>
        <w:t xml:space="preserve">4.3 — Métricas de Monitoramento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6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Frequência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Meta em 12 meses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Hard limit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% concentração Tecnologia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Mensal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&lt; 15% (de 18,1%)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Diversificação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% Energia + Agro + Automotivo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Mensal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&gt; 20% combinado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Garantias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% descoberta top 3 setores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Mensal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&lt; 23% (de 25%)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Securitização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R$ securitizado / exp. Saúde+Edu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Trimestral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&gt; 10% da exposição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Stress test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Capital em risco (cenário adverso)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Trimestral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Redução de 15% do VaR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120"/>
      </w:pPr>
      <w:r>
        <w:rPr>
          <w:b/>
          <w:bCs/>
          <w:color w:val="FFFFFF"/>
          <w:sz w:val="28"/>
          <w:szCs w:val="28"/>
        </w:rPr>
        <w:t xml:space="preserve">PARTE 5 — Simulação de Crise e Automatização</w:t>
      </w:r>
    </w:p>
    <w:p>
      <w:pPr>
        <w:pStyle w:val="Heading2"/>
        <w:pBdr>
          <w:bottom w:val="single" w:color="2E75B6" w:sz="2"/>
        </w:pBdr>
        <w:spacing w:before="240" w:after="80"/>
      </w:pPr>
      <w:r>
        <w:rPr>
          <w:b/>
          <w:bCs/>
          <w:color w:val="1F4E79"/>
          <w:sz w:val="24"/>
          <w:szCs w:val="24"/>
        </w:rPr>
        <w:t xml:space="preserve">5.1 — Situação de Crise: Setor Varejo</w:t>
      </w:r>
    </w:p>
    <w:p>
      <w:pPr>
        <w:spacing w:before="60" w:after="60"/>
        <w:jc w:val="both"/>
      </w:pPr>
      <w:r>
        <w:t>Cenário hipotético do case: crise setorial afeta Varejo — 7 clientes, exposição de R$ 2,2 bilhões (12,9% do portfólio). A resposta abaixo segue exatamente o cenário proposto no enunciado; a mesma lógica também pode ser reaplicada aos números observados na base sintética.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60" w:after="60"/>
      </w:pPr>
      <w:r>
        <w:rPr>
          <w:b/>
          <w:bCs/>
          <w:color w:val="2E75B6"/>
          <w:sz w:val="22"/>
          <w:szCs w:val="22"/>
        </w:rPr>
        <w:t xml:space="preserve">Queries SQL prioritárias (primeiras 2 horas)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>Triagem imediata: exposição bruta, exposição descoberta, utilização de limite, PD, rating atual e histórico de deterioração dos 7 clientes de Varejo — para priorizar os casos de maior impacto. Prioridade para a visão estrita do case (deterioração + util &gt; 80% + descoberta &gt; 30%) e, em paralelo, acompanhamento da camada operacional de monitoramento.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2"/>
          <w:szCs w:val="22"/>
        </w:rPr>
        <w:t xml:space="preserve">Concentração de garantias: tipo e valor das garantias vinculadas às operações ativas. Identificar sobreposição de avalistas ou garantias compartilhadas.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2"/>
          <w:szCs w:val="22"/>
        </w:rPr>
        <w:t xml:space="preserve">Vencimentos críticos: operações com vencimento nos próximos 90 dias — risco de roll-over e liquidez imediata. (View: vw_operacoes_vencidas filtrada por setor.)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2"/>
          <w:szCs w:val="22"/>
        </w:rPr>
        <w:t xml:space="preserve">Impacto em provisões: cálculo de PCLD incremental elevando 2 níveis na classificação de risco (ex.: B → D), conforme Resolução CMN 2.682/1999.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60" w:after="60"/>
      </w:pPr>
      <w:r>
        <w:rPr>
          <w:b/>
          <w:bCs/>
          <w:color w:val="2E75B6"/>
          <w:sz w:val="22"/>
          <w:szCs w:val="22"/>
        </w:rPr>
        <w:t xml:space="preserve">Informações para a reunião de crise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Exposição bruta e líquida por cliente com estimativa de recuperação em 3 cenários (30%, 50%, 70% de haircut das garantias)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Impacto incremental em PCLD: projeção base / moderado / severo com reflexo no resultado do período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Operações críticas dos próximos 90 dias: vencimentos, probabilidade de renegociação e cronograma de cobrança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Plano de monitoramento intensivo: frequência diária, critérios de elevação de nível de risco, interlocutores jurídicos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240" w:after="80"/>
      </w:pPr>
      <w:r>
        <w:rPr>
          <w:b/>
          <w:bCs/>
          <w:color w:val="1F4E79"/>
          <w:sz w:val="24"/>
          <w:szCs w:val="24"/>
        </w:rPr>
        <w:t xml:space="preserve">5.2 — Automatização do Processo</w:t>
      </w:r>
    </w:p>
    <w:p>
      <w:pPr>
        <w:pStyle w:val="Heading3"/>
        <w:spacing w:before="160" w:after="60"/>
      </w:pPr>
      <w:r>
        <w:rPr>
          <w:b/>
          <w:bCs/>
          <w:color w:val="2E75B6"/>
          <w:sz w:val="22"/>
          <w:szCs w:val="22"/>
        </w:rPr>
        <w:t xml:space="preserve">1. Coleta de Dados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Pipeline ETL no AWS Glue: ingesta arquivos do core bancário em S3 Raw Zone → transformação para S3 Trusted Zone (formato Parquet particionado por 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AWS Glue Crawler atualiza catálogo do Athena automaticamente. Exposições: atualização diária. Operações novas: near-realtime via Kinesis Firehose</w:t>
      </w:r>
    </w:p>
    <w:p>
      <w:pPr>
        <w:pStyle w:val="Heading3"/>
        <w:spacing w:before="160" w:after="60"/>
      </w:pPr>
      <w:r>
        <w:rPr>
          <w:b/>
          <w:bCs/>
          <w:color w:val="2E75B6"/>
          <w:sz w:val="22"/>
          <w:szCs w:val="22"/>
        </w:rPr>
        <w:t xml:space="preserve">2. Cálculo de Métricas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dbt (Data Build Tool): modelos SQL versionados no Git com testes automáticos de qualidade a cada build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Jobs agendados no AWS Glue Workflows: a cada atualização do S3, queries Athena calculam as views analíticas e persistem os resultados na camada Gold</w:t>
      </w:r>
    </w:p>
    <w:p>
      <w:pPr>
        <w:pStyle w:val="Heading3"/>
        <w:spacing w:before="160" w:after="60"/>
      </w:pPr>
      <w:r>
        <w:rPr>
          <w:b/>
          <w:bCs/>
          <w:color w:val="2E75B6"/>
          <w:sz w:val="22"/>
          <w:szCs w:val="22"/>
        </w:rPr>
        <w:t xml:space="preserve">3. Geração de Alertas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Amazon EventBridge + AWS Lambda: função Lambda verifica métricas vs. thresholds configurados e publica no Amazon SNS com conteúdo estruturado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QuickSight Anomaly Detection: detecta variações anômalas em exposição e rating sem threshold manual — aprende padrões sazonais do portfólio</w:t>
      </w:r>
    </w:p>
    <w:p>
      <w:pPr>
        <w:pStyle w:val="Heading3"/>
        <w:spacing w:before="160" w:after="60"/>
      </w:pPr>
      <w:r>
        <w:rPr>
          <w:b/>
          <w:bCs/>
          <w:color w:val="2E75B6"/>
          <w:sz w:val="22"/>
          <w:szCs w:val="22"/>
        </w:rPr>
        <w:t xml:space="preserve">4. Distribuição de Relatórios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QuickSight Email Reports: relatório PDF/Excel enviado automaticamente no primeiro dia útil do mês para lista configurável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API QuickSight + Amazon SES: alertas de crise geram relatório ad hoc em até 5 minutos do evento e o enviam por email com link deep para o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Canal de alertas no Slack/Teams via webhooks SNS: notificações em tempo real para a mesa de crédito durante o horário comercial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1F4E79" w:sz="8"/>
              <w:bottom w:val="single" w:color="C0C0C0" w:sz="1"/>
              <w:right w:val="single" w:color="C0C0C0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Nota Técnica — Arquitetura</w:t>
            </w:r>
          </w:p>
          <w:p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 xml:space="preserve">As queries foram desenvolvidas e testadas em SQL Server Developer Edition (prototipagem local) e o script entregue está convertido para sintaxe Amazon Athena (Presto/Trino). O mockup do dashboard foi construído em HTML interativo simulando o Amazon QuickSight.</w:t>
            </w:r>
          </w:p>
          <w:p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 xml:space="preserve">A modelagem, os KPIs e as queries foram desenhados para fácil adaptação ao ambiente de produção:</w:t>
            </w:r>
          </w:p>
          <w:p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 xml:space="preserve">  • Amazon S3          → armazenamento e data lake (formato Parquet)</w:t>
            </w:r>
          </w:p>
          <w:p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 xml:space="preserve">  • AWS Glue + Athena  → ETL e camada analítica SQL serverless</w:t>
            </w:r>
          </w:p>
          <w:p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 xml:space="preserve">  • Amazon QuickSight  → visualização e distribuição de relatórios</w:t>
            </w:r>
          </w:p>
          <w:p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 xml:space="preserve">A estrutura de views SQL é diretamente portável para Named Queries no Athena — conectadas ao QuickSight como datasets em produção.</w:t>
            </w:r>
          </w:p>
        </w:tc>
      </w:tr>
    </w:tbl>
    <w:p>
      <w:r>
        <w:br w:type="page"/>
      </w:r>
    </w:p>
    <w:p>
      <w:pPr>
        <w:pBdr>
          <w:top w:val="single" w:color="2E75B6" w:sz="4"/>
        </w:pBdr>
        <w:spacing w:before="240" w:after="60"/>
        <w:jc w:val="center"/>
      </w:pPr>
      <w:r>
        <w:rPr>
          <w:i/>
          <w:iCs/>
          <w:color w:val="999999"/>
          <w:sz w:val="20"/>
          <w:szCs w:val="20"/>
        </w:rPr>
        <w:t xml:space="preserve">Fim do Case | Analista de Dados — Crédito Corporativo | Igor | Março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2026-03-14T16:52:39.946Z</dcterms:created>
  <dcterms:modified xsi:type="dcterms:W3CDTF">2026-03-14T16:52:39.947Z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