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9D36B">
      <w:pPr>
        <w:widowControl w:val="0"/>
        <w:spacing w:after="0" w:line="240" w:lineRule="auto"/>
        <w:ind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3942715" cy="895350"/>
            <wp:effectExtent l="0" t="0" r="635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752D">
      <w:pPr>
        <w:widowControl w:val="0"/>
        <w:spacing w:before="3" w:after="0" w:line="240" w:lineRule="auto"/>
        <w:ind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D5C403A">
      <w:pPr>
        <w:widowControl w:val="0"/>
        <w:spacing w:before="87" w:after="0" w:line="240" w:lineRule="auto"/>
        <w:ind w:right="75"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718B4BB">
      <w:pPr>
        <w:widowControl w:val="0"/>
        <w:spacing w:before="202" w:after="0" w:line="388" w:lineRule="auto"/>
        <w:ind w:right="75"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Національний технічний університет України „КПІ імені Ігоря Сікорського ”</w:t>
      </w:r>
    </w:p>
    <w:p w14:paraId="19DA4499">
      <w:pPr>
        <w:spacing w:after="178"/>
        <w:ind w:right="76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1FD7E21">
      <w:pPr>
        <w:spacing w:after="172"/>
        <w:ind w:right="79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інформаційних систем та технологій</w:t>
      </w:r>
    </w:p>
    <w:p w14:paraId="24DCB0B3">
      <w:pPr>
        <w:spacing w:after="158"/>
        <w:ind w:right="12" w:hanging="360"/>
        <w:jc w:val="center"/>
        <w:rPr>
          <w:sz w:val="28"/>
          <w:szCs w:val="28"/>
        </w:rPr>
      </w:pPr>
    </w:p>
    <w:p w14:paraId="41738E7B">
      <w:pPr>
        <w:spacing w:after="205"/>
        <w:ind w:right="76" w:hanging="360"/>
        <w:jc w:val="center"/>
        <w:rPr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Звіт до комп’ютерного практикуму №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 3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 </w:t>
      </w:r>
    </w:p>
    <w:p w14:paraId="092DDB28">
      <w:pPr>
        <w:spacing w:after="158"/>
        <w:ind w:right="76" w:hanging="360"/>
        <w:jc w:val="center"/>
        <w:rPr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З дисципліни «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» </w:t>
      </w:r>
    </w:p>
    <w:p w14:paraId="3F3D322C">
      <w:pPr>
        <w:spacing w:after="136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9BA9502">
      <w:pPr>
        <w:spacing w:after="157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75F32B17">
      <w:pPr>
        <w:spacing w:after="157"/>
        <w:ind w:hanging="360"/>
        <w:rPr>
          <w:sz w:val="28"/>
          <w:szCs w:val="28"/>
        </w:rPr>
      </w:pPr>
    </w:p>
    <w:p w14:paraId="0CC9087F">
      <w:pPr>
        <w:spacing w:after="405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17579C6C">
      <w:pPr>
        <w:tabs>
          <w:tab w:val="center" w:pos="3739"/>
          <w:tab w:val="center" w:pos="6754"/>
        </w:tabs>
        <w:spacing w:after="91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Прийняв: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 </w:t>
      </w:r>
    </w:p>
    <w:p w14:paraId="17189C20">
      <w:pPr>
        <w:tabs>
          <w:tab w:val="center" w:pos="3739"/>
          <w:tab w:val="center" w:pos="7701"/>
        </w:tabs>
        <w:spacing w:after="43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ст. викл. Дифучин А.Ю.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4 курсу,гр. ІП-13 </w:t>
      </w:r>
    </w:p>
    <w:p w14:paraId="262A36A4">
      <w:pPr>
        <w:tabs>
          <w:tab w:val="center" w:pos="3739"/>
          <w:tab w:val="center" w:pos="7143"/>
        </w:tabs>
        <w:spacing w:after="181"/>
        <w:ind w:hanging="36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118110</wp:posOffset>
                </wp:positionV>
                <wp:extent cx="2541270" cy="656590"/>
                <wp:effectExtent l="6350" t="6350" r="24130" b="2286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1743" y="3457973"/>
                          <a:ext cx="2528515" cy="64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D457AD">
                            <w:pPr>
                              <w:spacing w:line="258" w:lineRule="auto"/>
                              <w:jc w:val="center"/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6"/>
                                <w:lang w:val="uk-UA"/>
                              </w:rPr>
                              <w:t>Петров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color w:val="000000"/>
                                <w:sz w:val="26"/>
                                <w:lang w:val="uk-UA"/>
                              </w:rPr>
                              <w:t xml:space="preserve"> Ігор Ярославович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o:spt="1" style="position:absolute;left:0pt;margin-left:245.35pt;margin-top:9.3pt;height:51.7pt;width:200.1pt;z-index:251659264;v-text-anchor:middle;mso-width-relative:page;mso-height-relative:page;" fillcolor="#FFFFFF [3201]" filled="t" stroked="t" coordsize="21600,21600" o:gfxdata="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OepH2AAAAAoBAAAPAAAAAAAAAAEAIAAAACIAAABkcnMvZG93bnJldi54bWxQ&#10;SwECFAAUAAAACACHTuJAz4pHFWkCAADPBAAADgAAAAAAAAABACAAAAAnAQAAZHJzL2Uyb0RvYy54&#10;bWxQSwUGAAAAAAYABgBZAQAAAgYAAAAA&#10;">
                <v:fill on="t" focussize="0,0"/>
                <v:stroke weight="1pt" color="#FFFFFF [3201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1D457AD">
                      <w:pPr>
                        <w:spacing w:line="258" w:lineRule="auto"/>
                        <w:jc w:val="center"/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6"/>
                          <w:lang w:val="uk-UA"/>
                        </w:rPr>
                        <w:t>Петров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color w:val="000000"/>
                          <w:sz w:val="26"/>
                          <w:lang w:val="uk-UA"/>
                        </w:rPr>
                        <w:t xml:space="preserve"> Ігор Ярославович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3C7F0234">
      <w:pPr>
        <w:tabs>
          <w:tab w:val="center" w:pos="3739"/>
          <w:tab w:val="center" w:pos="7102"/>
        </w:tabs>
        <w:spacing w:after="126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«___»____________2024 р.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6F844973">
      <w:pPr>
        <w:spacing w:after="125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1D1A83E7">
      <w:pPr>
        <w:spacing w:after="158"/>
        <w:ind w:right="7"/>
        <w:jc w:val="both"/>
        <w:rPr>
          <w:sz w:val="28"/>
          <w:szCs w:val="28"/>
        </w:rPr>
      </w:pPr>
    </w:p>
    <w:p w14:paraId="1D42F369">
      <w:pPr>
        <w:spacing w:after="158"/>
        <w:ind w:right="7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C80C95B">
      <w:pPr>
        <w:spacing w:after="158"/>
        <w:ind w:right="7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63B9631A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7A50CD6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2B4E4D4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 2024 р. </w:t>
      </w:r>
    </w:p>
    <w:p w14:paraId="618448C5">
      <w:pPr>
        <w:spacing w:after="171"/>
        <w:ind w:right="7" w:firstLine="0" w:firstLineChars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29202469">
      <w:pPr>
        <w:numPr>
          <w:ilvl w:val="0"/>
          <w:numId w:val="1"/>
        </w:numPr>
        <w:spacing w:after="171"/>
        <w:ind w:right="7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Реалізувати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30 балів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</w:p>
    <w:p w14:paraId="4B949E2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(30 балів): У банку для автомобілістів є два віконця, кожне з яких обслуговується одним касиром і має окрему під'їзну смугу. Обидві смуги розташовані поруч. З попередніх спостережень відомо, що інтервали часу між прибуттям клієнтів у годину пік розподілені експоненційно з математичним очікуванням, рівним 0,5 од. часу. Через те, що банк буває переобтяжений тільки в годину пік, то аналізується тільки цей період. Тривалість обслуговування в обох касирів однакова і розподілена експоненційно з математичним очікуванням, рівним 0,3 од. часу. Відомо також, що при рівній довжині черг, а також при відсутності черг, клієнти віддають перевагу першій смузі. В усіх інших випадках клієнти вибирають більш коротку чергу. Після того, як клієнт в'їхав у банк, він не може залишити його, доки не буде обслугований. Проте він може перемінити чергу, якщо стоїть останнім і різниця в довжині черг при цьому складає не менше двох автомобілів. Через обмежене місце на кожній смузі може знаходитися не більш трьох автомобілів. У банку, таким чином, не може знаходитися більш восьми автомобілів, включаючи автомобілі двох клієнтів, що обслуговуються в поточний момент касиром. Якщо місце перед банком заповнено до границі, то клієнт, що прибув, вважається втраченим, тому що він відразу ж виїжджає. Початкові умови такі: 1) обидва касири зайняті, тривалість обслуговування для кожного касира нормально розподілена з математичним очікуванням, рівним 1 од. часу, і середньоквадратичним відхиленням, рівним 0,3 од. часу; 2) прибуття першого клієнта заплановано на момент часу 0,1 од. часу; 3) у кожній черзі очікують по два автомобіля. Визначити такі величини: 1) середнє завантаження кожного касира; 2) середнє число клієнтів у банку; 3) середній інтервал часу між від'їздами клієнтів від вікон; 4) середній час перебування клієнта в банку; 5) середнє число клієнтів у кожній черзі; 6) відсоток клієнтів, яким відмовлено в обслуговуванні; 7) число змін під'їзних смуг.</w:t>
      </w:r>
    </w:p>
    <w:p w14:paraId="61AB057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(40 балів): У лікарню поступають хворі таких трьох типів: 1) хворі, що пройшли попереднє обстеження і направлені на лікування; 2) хворі, що бажають потрапити в лікарню, але не пройшли повністю попереднє обстеження; 3) хворі, які тільки що поступили на попереднє обстеження. Чисельні характеристики типів хворих наведені в таблиці: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F97E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D566A87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Тип хворого</w:t>
            </w:r>
          </w:p>
        </w:tc>
        <w:tc>
          <w:tcPr>
            <w:tcW w:w="2841" w:type="dxa"/>
          </w:tcPr>
          <w:p w14:paraId="4A4C6AFB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Відносна частина</w:t>
            </w:r>
          </w:p>
        </w:tc>
        <w:tc>
          <w:tcPr>
            <w:tcW w:w="2841" w:type="dxa"/>
          </w:tcPr>
          <w:p w14:paraId="73F92DD7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Середній час реєстрації</w:t>
            </w:r>
          </w:p>
        </w:tc>
      </w:tr>
      <w:tr w14:paraId="64150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0F29D2F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41" w:type="dxa"/>
          </w:tcPr>
          <w:p w14:paraId="2F6AD29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  <w:tc>
          <w:tcPr>
            <w:tcW w:w="2841" w:type="dxa"/>
          </w:tcPr>
          <w:p w14:paraId="0F14FFA9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</w:tr>
      <w:tr w14:paraId="24FD1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E8863AE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41" w:type="dxa"/>
          </w:tcPr>
          <w:p w14:paraId="74968DBF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841" w:type="dxa"/>
          </w:tcPr>
          <w:p w14:paraId="0E059CA3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</w:tr>
      <w:tr w14:paraId="0A62D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06CC75C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41" w:type="dxa"/>
          </w:tcPr>
          <w:p w14:paraId="138CEA1F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2841" w:type="dxa"/>
          </w:tcPr>
          <w:p w14:paraId="392D4872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</w:tbl>
    <w:p w14:paraId="24F377CD"/>
    <w:p w14:paraId="5B9FBC3A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надходженні в приймальне відділення хворий стає в чергу,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якщо обидва чергових лікарі зайняті. Лікар, який звільнився, вибирає 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першу чергу тих хворих, що вже пройшли попереднє обстеження. Після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заповнення різноманітних форм у приймальне відділення хворі 1 типу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ідуть прямо в палату, а хворі типів 2 і 3 направляються в лабораторію.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Троє супровідних розводять хворих по палатах. Хворим не дозволяється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направлятися в палату без супровідного. Якщо всі супровідні зайняті,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хворі очікують їхнього звільнення в приймальному відділенні. Як тільки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хворий доставлений у палату, він вважається таким, що завершив процес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прийому до лікарні.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Хворі, що спрямовуються в лабораторію, не потребують супроводу.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Після прибуття в лабораторію хворі стають у чергу в реєстратуру. Після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реєстрації вони ідуть у кімнату очікування, де чекають виклику до одного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з двох лаборантів. Після здачі аналізів хворі або повертаються 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приймальне відділення (якщо їх приймають у лікарню), або залишають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лікарню (якщо їм було призначено тільки попереднє обстеження). Після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повернення в приймальне відділення хворий, що здав аналізи,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розглядається як хворий типу 1.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У наступній таблиці приводяться дані по тривалості дій (хв):</w:t>
      </w:r>
    </w:p>
    <w:p w14:paraId="0414AF07">
      <w:pPr>
        <w:rPr>
          <w:rFonts w:hint="default" w:ascii="Times New Roman" w:hAnsi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05CF5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5E4212E8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Величина</w:t>
            </w:r>
          </w:p>
        </w:tc>
        <w:tc>
          <w:tcPr>
            <w:tcW w:w="4261" w:type="dxa"/>
          </w:tcPr>
          <w:p w14:paraId="0B1F058F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Розподіл</w:t>
            </w:r>
          </w:p>
        </w:tc>
      </w:tr>
      <w:tr w14:paraId="05E89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A6E20B9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Час між прибуттями в приймальне відділення</w:t>
            </w:r>
          </w:p>
        </w:tc>
        <w:tc>
          <w:tcPr>
            <w:tcW w:w="4261" w:type="dxa"/>
          </w:tcPr>
          <w:p w14:paraId="161B38EA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Експоненціальний з математичним сподіванням 15</w:t>
            </w:r>
          </w:p>
        </w:tc>
      </w:tr>
      <w:tr w14:paraId="1C1DA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BE53A7C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Час слідування в палату</w:t>
            </w:r>
          </w:p>
        </w:tc>
        <w:tc>
          <w:tcPr>
            <w:tcW w:w="4261" w:type="dxa"/>
          </w:tcPr>
          <w:p w14:paraId="3226114E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Рівномірне від 3 до 8</w:t>
            </w:r>
          </w:p>
        </w:tc>
      </w:tr>
      <w:tr w14:paraId="046C4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817F664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Час слідування з приймального відділення в лабораторію або з лабораторії в приймальне відділення</w:t>
            </w:r>
          </w:p>
        </w:tc>
        <w:tc>
          <w:tcPr>
            <w:tcW w:w="4261" w:type="dxa"/>
          </w:tcPr>
          <w:p w14:paraId="06BC949C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Рівномірне від 2 до 5</w:t>
            </w:r>
          </w:p>
        </w:tc>
      </w:tr>
      <w:tr w14:paraId="2CFD1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3788B24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Час обслуговування в реєстратуру лабораторії</w:t>
            </w:r>
          </w:p>
        </w:tc>
        <w:tc>
          <w:tcPr>
            <w:tcW w:w="4261" w:type="dxa"/>
          </w:tcPr>
          <w:p w14:paraId="49BB0E05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Ерланга з математичним сподіванням 4,5 і k=3</w:t>
            </w:r>
          </w:p>
        </w:tc>
      </w:tr>
      <w:tr w14:paraId="275ED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11DC012">
            <w:pPr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Час проведення аналізу в лабораторії</w:t>
            </w:r>
          </w:p>
        </w:tc>
        <w:tc>
          <w:tcPr>
            <w:tcW w:w="4261" w:type="dxa"/>
          </w:tcPr>
          <w:p w14:paraId="5CCC6165">
            <w:pPr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uk-UA"/>
              </w:rPr>
              <w:t>Ерланга з математичним сподіванням 4 і k=2</w:t>
            </w:r>
          </w:p>
        </w:tc>
      </w:tr>
    </w:tbl>
    <w:p w14:paraId="7F61A3AE">
      <w:pPr>
        <w:rPr>
          <w:rFonts w:hint="default" w:ascii="Times New Roman" w:hAnsi="Times New Roman"/>
          <w:sz w:val="28"/>
          <w:szCs w:val="28"/>
        </w:rPr>
      </w:pPr>
    </w:p>
    <w:p w14:paraId="3C63EC1C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Визначити час, проведений хворим у системі, тобто інтервал часу,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починаючи з надходження і закінчуючи доставкою в палату (для хворих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типу 1 і 2) або виходом із лабораторії (для хворих типу 3). Визначити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також інтервал між прибуттями хворих у лабораторію.</w:t>
      </w:r>
    </w:p>
    <w:p w14:paraId="268B3463"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Виконання</w:t>
      </w:r>
    </w:p>
    <w:p w14:paraId="30294BD8"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Завдання 1</w:t>
      </w:r>
    </w:p>
    <w:p w14:paraId="6D882632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Для реалізації алгоритму необхідно додати до вже існуючих класів з попердньої роботи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нові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а саме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Despose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для завершення задач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Job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для реалізації клієнта смо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тобто задачі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Route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для реалізації маршрутизації між елементами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за пріоритетом або сталою ймовірністю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</w:p>
    <w:p w14:paraId="49DDF454">
      <w:r>
        <w:drawing>
          <wp:inline distT="0" distB="0" distL="114300" distR="114300">
            <wp:extent cx="3495675" cy="1676400"/>
            <wp:effectExtent l="0" t="0" r="9525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5A30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2BDC1664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1EF907E8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</w:p>
    <w:p w14:paraId="73EA80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Результати виконання моделювання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49B911C8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8595" cy="2801620"/>
            <wp:effectExtent l="0" t="0" r="8255" b="1778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0C65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</w:p>
    <w:p w14:paraId="0A064E21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Результати виконання моделювання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0B055D02">
      <w:r>
        <w:drawing>
          <wp:inline distT="0" distB="0" distL="114300" distR="114300">
            <wp:extent cx="5269230" cy="2932430"/>
            <wp:effectExtent l="0" t="0" r="7620" b="127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3CFF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4F5508BB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У ході виконання роботи було реалізовано універсальний алгоритм імітації моделі масового обслуговування з багатоканальним обслуговуванням для двох завдань.</w:t>
      </w:r>
      <w:bookmarkStart w:id="0" w:name="_GoBack"/>
      <w:bookmarkEnd w:id="0"/>
    </w:p>
    <w:p w14:paraId="52B2F55F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Перше завдання передбачало моделювання роботи банку для автомобілістів із двома касами. Було визначено середнє завантаження касирів, середню кількість клієнтів у банку, відсоток відмов у обслуговуванні та інші ключові метрики. Аналіз отриманих даних дозволив оцінити ефективність організації процесу обслуговування та його вплив на клієнтський потік.</w:t>
      </w:r>
    </w:p>
    <w:p w14:paraId="16465DF8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Друге завдання стосувалося моделювання приймального відділення лікарні з урахуванням різних типів пацієнтів і послідовності їх обслуговування. У результаті було отримано ключові показники, зокрема час перебування пацієнтів у системі, завантаження лікарів та лаборантів, а також частоту прибуття пацієнтів до лабораторії. Це дозволило зробити висновки про оптимізацію роботи приймального відділення.</w:t>
      </w:r>
    </w:p>
    <w:p w14:paraId="26BF031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79012"/>
    <w:multiLevelType w:val="singleLevel"/>
    <w:tmpl w:val="B34790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C4F33"/>
    <w:rsid w:val="4E84690D"/>
    <w:rsid w:val="54F6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2024-12-05T02:22:59Z</dcterms:created>
  <dc:creator>Igor</dc:creator>
  <cp:lastModifiedBy>FireCard</cp:lastModifiedBy>
  <dcterms:modified xsi:type="dcterms:W3CDTF">2024-12-05T03:58:06Z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49A60756D707436E8E966DC0FE5A2B79_12</vt:lpwstr>
  </property>
</Properties>
</file>