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5F7" w:rsidRDefault="006115F7" w:rsidP="006115F7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#(1) Carregamento das bibliotecas</w:t>
      </w:r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#(2) Entradas de dados</w:t>
      </w:r>
      <w:r>
        <w:rPr>
          <w:color w:val="7A7E85"/>
        </w:rPr>
        <w:br/>
      </w:r>
      <w:proofErr w:type="spellStart"/>
      <w:r>
        <w:rPr>
          <w:color w:val="BCBEC4"/>
        </w:rPr>
        <w:t>marca_a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153</w:t>
      </w:r>
      <w:r>
        <w:rPr>
          <w:color w:val="BCBEC4"/>
        </w:rPr>
        <w:t xml:space="preserve">, </w:t>
      </w:r>
      <w:r>
        <w:rPr>
          <w:color w:val="2AACB8"/>
        </w:rPr>
        <w:t>173</w:t>
      </w:r>
      <w:r>
        <w:rPr>
          <w:color w:val="BCBEC4"/>
        </w:rPr>
        <w:t xml:space="preserve">, </w:t>
      </w:r>
      <w:r>
        <w:rPr>
          <w:color w:val="2AACB8"/>
        </w:rPr>
        <w:t>134</w:t>
      </w:r>
      <w:r>
        <w:rPr>
          <w:color w:val="BCBEC4"/>
        </w:rPr>
        <w:t xml:space="preserve">, </w:t>
      </w:r>
      <w:r>
        <w:rPr>
          <w:color w:val="2AACB8"/>
        </w:rPr>
        <w:t>157</w:t>
      </w:r>
      <w:r>
        <w:rPr>
          <w:color w:val="BCBEC4"/>
        </w:rPr>
        <w:t xml:space="preserve">, </w:t>
      </w:r>
      <w:r>
        <w:rPr>
          <w:color w:val="2AACB8"/>
        </w:rPr>
        <w:t>149</w:t>
      </w:r>
      <w:r>
        <w:rPr>
          <w:color w:val="BCBEC4"/>
        </w:rPr>
        <w:t xml:space="preserve">, </w:t>
      </w:r>
      <w:r>
        <w:rPr>
          <w:color w:val="2AACB8"/>
        </w:rPr>
        <w:t>171</w:t>
      </w:r>
      <w:r>
        <w:rPr>
          <w:color w:val="BCBEC4"/>
        </w:rPr>
        <w:t xml:space="preserve">, </w:t>
      </w:r>
      <w:r>
        <w:rPr>
          <w:color w:val="2AACB8"/>
        </w:rPr>
        <w:t>162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marca_b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172</w:t>
      </w:r>
      <w:r>
        <w:rPr>
          <w:color w:val="BCBEC4"/>
        </w:rPr>
        <w:t xml:space="preserve">, </w:t>
      </w:r>
      <w:r>
        <w:rPr>
          <w:color w:val="2AACB8"/>
        </w:rPr>
        <w:t>163</w:t>
      </w:r>
      <w:r>
        <w:rPr>
          <w:color w:val="BCBEC4"/>
        </w:rPr>
        <w:t xml:space="preserve">, </w:t>
      </w:r>
      <w:r>
        <w:rPr>
          <w:color w:val="2AACB8"/>
        </w:rPr>
        <w:t>151</w:t>
      </w:r>
      <w:r>
        <w:rPr>
          <w:color w:val="BCBEC4"/>
        </w:rPr>
        <w:t xml:space="preserve">, </w:t>
      </w:r>
      <w:r>
        <w:rPr>
          <w:color w:val="2AACB8"/>
        </w:rPr>
        <w:t>146</w:t>
      </w:r>
      <w:r>
        <w:rPr>
          <w:color w:val="BCBEC4"/>
        </w:rPr>
        <w:t xml:space="preserve">, </w:t>
      </w:r>
      <w:r>
        <w:rPr>
          <w:color w:val="2AACB8"/>
        </w:rPr>
        <w:t>146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#(3) Processamento de dados</w:t>
      </w:r>
      <w:r>
        <w:rPr>
          <w:color w:val="7A7E85"/>
        </w:rPr>
        <w:br/>
      </w:r>
      <w:proofErr w:type="spellStart"/>
      <w:r>
        <w:rPr>
          <w:color w:val="BCBEC4"/>
        </w:rPr>
        <w:t>mean_a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marca_a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mean_b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marca_b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dpad_a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np.std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marca_a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dpad_b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np.std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marca_b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#(4) Resultados e visualizações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>)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da marca A é: </w:t>
      </w:r>
      <w:r>
        <w:rPr>
          <w:color w:val="CF8E6D"/>
        </w:rPr>
        <w:t>{</w:t>
      </w:r>
      <w:proofErr w:type="spellStart"/>
      <w:r>
        <w:rPr>
          <w:color w:val="BCBEC4"/>
        </w:rPr>
        <w:t>mean_a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desvio-</w:t>
      </w:r>
      <w:proofErr w:type="spellStart"/>
      <w:r>
        <w:rPr>
          <w:color w:val="6AAB73"/>
        </w:rPr>
        <w:t>padrao</w:t>
      </w:r>
      <w:proofErr w:type="spellEnd"/>
      <w:r>
        <w:rPr>
          <w:color w:val="6AAB73"/>
        </w:rPr>
        <w:t xml:space="preserve"> da marca A é: </w:t>
      </w:r>
      <w:r>
        <w:rPr>
          <w:color w:val="CF8E6D"/>
        </w:rPr>
        <w:t>{</w:t>
      </w:r>
      <w:proofErr w:type="spellStart"/>
      <w:r>
        <w:rPr>
          <w:color w:val="BCBEC4"/>
        </w:rPr>
        <w:t>dpad_a.round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decimals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media</w:t>
      </w:r>
      <w:proofErr w:type="spellEnd"/>
      <w:r>
        <w:rPr>
          <w:color w:val="6AAB73"/>
        </w:rPr>
        <w:t xml:space="preserve"> da marca B é: </w:t>
      </w:r>
      <w:r>
        <w:rPr>
          <w:color w:val="CF8E6D"/>
        </w:rPr>
        <w:t>{</w:t>
      </w:r>
      <w:proofErr w:type="spellStart"/>
      <w:r>
        <w:rPr>
          <w:color w:val="BCBEC4"/>
        </w:rPr>
        <w:t>mean_b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desvio-padrão da marca B é: </w:t>
      </w:r>
      <w:r>
        <w:rPr>
          <w:color w:val="CF8E6D"/>
        </w:rPr>
        <w:t>{</w:t>
      </w:r>
      <w:proofErr w:type="spellStart"/>
      <w:r>
        <w:rPr>
          <w:color w:val="BCBEC4"/>
        </w:rPr>
        <w:t>dpad_b.round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decimals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f"===========================================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f"B</w:t>
      </w:r>
      <w:proofErr w:type="spellEnd"/>
      <w:r>
        <w:rPr>
          <w:color w:val="6AAB73"/>
        </w:rPr>
        <w:t>)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marca B, pois ela possuiu uma </w:t>
      </w:r>
      <w:proofErr w:type="spellStart"/>
      <w:r>
        <w:rPr>
          <w:color w:val="6AAB73"/>
        </w:rPr>
        <w:t>consistencia</w:t>
      </w:r>
      <w:proofErr w:type="spellEnd"/>
      <w:r>
        <w:rPr>
          <w:color w:val="6AAB73"/>
        </w:rPr>
        <w:t xml:space="preserve"> e uma previsibilidade de uso maior que a da marca 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f"===========================================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f"C</w:t>
      </w:r>
      <w:proofErr w:type="spellEnd"/>
      <w:r>
        <w:rPr>
          <w:color w:val="6AAB73"/>
        </w:rPr>
        <w:t>)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f"A</w:t>
      </w:r>
      <w:proofErr w:type="spellEnd"/>
      <w:r>
        <w:rPr>
          <w:color w:val="6AAB73"/>
        </w:rPr>
        <w:t xml:space="preserve"> marca B </w:t>
      </w:r>
      <w:proofErr w:type="spellStart"/>
      <w:r>
        <w:rPr>
          <w:color w:val="6AAB73"/>
        </w:rPr>
        <w:t>tambem</w:t>
      </w:r>
      <w:proofErr w:type="spellEnd"/>
      <w:r>
        <w:rPr>
          <w:color w:val="6AAB73"/>
        </w:rPr>
        <w:t>, pelo fato de ela não ter uma variação tão grande"</w:t>
      </w:r>
      <w:r>
        <w:rPr>
          <w:color w:val="BCBEC4"/>
        </w:rPr>
        <w:t>)</w:t>
      </w:r>
    </w:p>
    <w:p w:rsidR="004110B0" w:rsidRDefault="004110B0">
      <w:bookmarkStart w:id="0" w:name="_GoBack"/>
      <w:bookmarkEnd w:id="0"/>
    </w:p>
    <w:sectPr w:rsidR="00411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0"/>
    <w:rsid w:val="004110B0"/>
    <w:rsid w:val="005B6FBC"/>
    <w:rsid w:val="006115F7"/>
    <w:rsid w:val="0080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EFF4"/>
  <w15:chartTrackingRefBased/>
  <w15:docId w15:val="{34EEF867-BCCD-4EB8-9A22-23673DCB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0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2025-03-07T00:20:00Z</dcterms:created>
  <dcterms:modified xsi:type="dcterms:W3CDTF">2025-03-07T00:20:00Z</dcterms:modified>
</cp:coreProperties>
</file>