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adde1b778e0c07c653e0fd4bb03796a7ad40698"/>
    <w:p>
      <w:pPr>
        <w:pStyle w:val="Heading1"/>
      </w:pPr>
      <w:r>
        <w:t xml:space="preserve">Especificação Suplementar — Requisitos Não Funcionais (ISO/IEC 25010)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Sistema de Gestão para Clínica de Psicologia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Igor Pinto de Castro Ferreira</w:t>
      </w:r>
      <w:r>
        <w:t xml:space="preserve"> </w:t>
      </w:r>
      <w:r>
        <w:rPr>
          <w:b/>
          <w:bCs/>
        </w:rPr>
        <w:t xml:space="preserve">Referência:</w:t>
      </w:r>
      <w:r>
        <w:t xml:space="preserve"> </w:t>
      </w:r>
      <w:r>
        <w:t xml:space="preserve">Larman —</w:t>
      </w:r>
      <w:r>
        <w:t xml:space="preserve"> </w:t>
      </w:r>
      <w:r>
        <w:rPr>
          <w:i/>
          <w:iCs/>
        </w:rPr>
        <w:t xml:space="preserve">Utilizando UML e Padrões</w:t>
      </w:r>
      <w:r>
        <w:t xml:space="preserve">, capítulo 7; ISO/IEC 25010:2011</w:t>
      </w:r>
    </w:p>
    <w:p>
      <w:r>
        <w:pict>
          <v:rect style="width:0;height:1.5pt" o:hralign="center" o:hrstd="t" o:hr="t"/>
        </w:pict>
      </w:r>
    </w:p>
    <w:bookmarkStart w:id="9" w:name="Xc2970a1a23df3ef3b34d1da3795ce3cec2678cb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Este documento especifica os Requisitos Não Funcionais (RNFs) do sistema, classificados pelas</w:t>
      </w:r>
      <w:r>
        <w:t xml:space="preserve"> </w:t>
      </w:r>
      <w:r>
        <w:rPr>
          <w:b/>
          <w:bCs/>
        </w:rPr>
        <w:t xml:space="preserve">8 características de qualidade da ISO/IEC 25010:2011</w:t>
      </w:r>
      <w:r>
        <w:t xml:space="preserve">:</w:t>
      </w:r>
      <w:r>
        <w:t xml:space="preserve"> </w:t>
      </w:r>
      <w:r>
        <w:rPr>
          <w:i/>
          <w:iCs/>
        </w:rPr>
        <w:t xml:space="preserve">Functional Suitability · Performance Efficiency · Compatibility · Usability · Reliability · Security · Maintainability · Portability</w:t>
      </w:r>
      <w:r>
        <w:t xml:space="preserve">.</w:t>
      </w:r>
    </w:p>
    <w:p>
      <w:pPr>
        <w:pStyle w:val="BodyText"/>
      </w:pPr>
      <w:r>
        <w:t xml:space="preserve">Cada RNF possui: ID, característica/subcaracterística, descrição, métrica/critério de aceite e prioridade (Alta, Média, Baixa).</w:t>
      </w:r>
    </w:p>
    <w:p>
      <w:r>
        <w:pict>
          <v:rect style="width:0;height:1.5pt" o:hralign="center" o:hrstd="t" o:hr="t"/>
        </w:pict>
      </w:r>
    </w:p>
    <w:bookmarkEnd w:id="9"/>
    <w:bookmarkStart w:id="11" w:name="X828f6180ccd6701f42879509bc92e674c5ff37b"/>
    <w:p>
      <w:pPr>
        <w:pStyle w:val="Heading2"/>
      </w:pPr>
      <w:r>
        <w:t xml:space="preserve">2. Functional Suitability — Adequação Funcional</w:t>
      </w:r>
    </w:p>
    <w:bookmarkStart w:id="10" w:name="Xec06c15f25cd20cc669be09fb31846749974b7b"/>
    <w:p>
      <w:pPr>
        <w:pStyle w:val="Heading3"/>
      </w:pPr>
      <w:r>
        <w:t xml:space="preserve">Subcaracterísticas: Functional Completeness, Correctness, Appropriateness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Métrica / Critério de aceite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RNF-FS-01</w:t>
            </w:r>
          </w:p>
        </w:tc>
        <w:tc>
          <w:tcPr/>
          <w:p>
            <w:pPr>
              <w:pStyle w:val="Compact"/>
            </w:pPr>
            <w:r>
              <w:t xml:space="preserve">100% dos RFs de prioridade Alta devem possuir testes de aceitação automatizados.</w:t>
            </w:r>
          </w:p>
        </w:tc>
        <w:tc>
          <w:tcPr/>
          <w:p>
            <w:pPr>
              <w:pStyle w:val="Compact"/>
            </w:pPr>
            <w:r>
              <w:t xml:space="preserve">Cobertura medida por suíte de aceitação; verificar em CI.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RNF-FS-02</w:t>
            </w:r>
          </w:p>
        </w:tc>
        <w:tc>
          <w:tcPr/>
          <w:p>
            <w:pPr>
              <w:pStyle w:val="Compact"/>
            </w:pPr>
            <w:r>
              <w:t xml:space="preserve">Funcionalidades devem produzir resultado correto conforme regras de negócio especificadas.</w:t>
            </w:r>
          </w:p>
        </w:tc>
        <w:tc>
          <w:tcPr/>
          <w:p>
            <w:pPr>
              <w:pStyle w:val="Compact"/>
            </w:pPr>
            <w:r>
              <w:t xml:space="preserve">Zero defeitos críticos em homologação.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RNF-FS-03</w:t>
            </w:r>
          </w:p>
        </w:tc>
        <w:tc>
          <w:tcPr/>
          <w:p>
            <w:pPr>
              <w:pStyle w:val="Compact"/>
            </w:pPr>
            <w:r>
              <w:t xml:space="preserve">Funcionalidades devem ser apropriadas às tarefas dos usuários (validação por testes de usabilidade com 3+ usuários reais por papel).</w:t>
            </w:r>
          </w:p>
        </w:tc>
        <w:tc>
          <w:tcPr/>
          <w:p>
            <w:pPr>
              <w:pStyle w:val="Compact"/>
            </w:pPr>
            <w:r>
              <w:t xml:space="preserve">NPS funcional ≥ 8 em pesquisa pós-uso.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X2b342ecc2fa2c04b2eed652a1990d72d9b1bf8e"/>
    <w:p>
      <w:pPr>
        <w:pStyle w:val="Heading2"/>
      </w:pPr>
      <w:r>
        <w:t xml:space="preserve">3. Performance Efficiency — Eficiência de Desempenho</w:t>
      </w:r>
    </w:p>
    <w:bookmarkStart w:id="12" w:name="Xec6f52edbb756ad4451babc0f649e803770efe3"/>
    <w:p>
      <w:pPr>
        <w:pStyle w:val="Heading3"/>
      </w:pPr>
      <w:r>
        <w:t xml:space="preserve">Subcaracterísticas: Time Behaviour, Resource Utilization, Capacity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Métrica / Critério de aceite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RNF-PE-01</w:t>
            </w:r>
          </w:p>
        </w:tc>
        <w:tc>
          <w:tcPr/>
          <w:p>
            <w:pPr>
              <w:pStyle w:val="Compact"/>
            </w:pPr>
            <w:r>
              <w:t xml:space="preserve">Tempo de resposta para operações de leitura (consultar agenda, abrir prontuário) deve ser ≤ 2s em 95% das requisições.</w:t>
            </w:r>
          </w:p>
        </w:tc>
        <w:tc>
          <w:tcPr/>
          <w:p>
            <w:pPr>
              <w:pStyle w:val="Compact"/>
            </w:pPr>
            <w:r>
              <w:t xml:space="preserve">p95 ≤ 2s sob carga nominal (50 usuários simultâneos).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RNF-PE-02</w:t>
            </w:r>
          </w:p>
        </w:tc>
        <w:tc>
          <w:tcPr/>
          <w:p>
            <w:pPr>
              <w:pStyle w:val="Compact"/>
            </w:pPr>
            <w:r>
              <w:t xml:space="preserve">Tempo de resposta para operações de escrita (agendar, registrar atendimento) deve ser ≤ 3s em 95% das requisições.</w:t>
            </w:r>
          </w:p>
        </w:tc>
        <w:tc>
          <w:tcPr/>
          <w:p>
            <w:pPr>
              <w:pStyle w:val="Compact"/>
            </w:pPr>
            <w:r>
              <w:t xml:space="preserve">p95 ≤ 3s sob carga nominal.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RNF-PE-03</w:t>
            </w:r>
          </w:p>
        </w:tc>
        <w:tc>
          <w:tcPr/>
          <w:p>
            <w:pPr>
              <w:pStyle w:val="Compact"/>
            </w:pPr>
            <w:r>
              <w:t xml:space="preserve">O sistema deve suportar pico de 200 usuários simultâneos sem degradação superior a 20% no tempo de resposta.</w:t>
            </w:r>
          </w:p>
        </w:tc>
        <w:tc>
          <w:tcPr/>
          <w:p>
            <w:pPr>
              <w:pStyle w:val="Compact"/>
            </w:pPr>
            <w:r>
              <w:t xml:space="preserve">Teste de carga com k6 ou JMeter.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RNF-PE-04</w:t>
            </w:r>
          </w:p>
        </w:tc>
        <w:tc>
          <w:tcPr/>
          <w:p>
            <w:pPr>
              <w:pStyle w:val="Compact"/>
            </w:pPr>
            <w:r>
              <w:t xml:space="preserve">Geração de relatório de agenda mensal deve concluir em ≤ 5s.</w:t>
            </w:r>
          </w:p>
        </w:tc>
        <w:tc>
          <w:tcPr/>
          <w:p>
            <w:pPr>
              <w:pStyle w:val="Compact"/>
            </w:pPr>
            <w:r>
              <w:t xml:space="preserve">Medido em produção.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RNF-PE-05</w:t>
            </w:r>
          </w:p>
        </w:tc>
        <w:tc>
          <w:tcPr/>
          <w:p>
            <w:pPr>
              <w:pStyle w:val="Compact"/>
            </w:pPr>
            <w:r>
              <w:t xml:space="preserve">Uso de memória de cada serviço backend não deve exceder 512 MB em carga nominal.</w:t>
            </w:r>
          </w:p>
        </w:tc>
        <w:tc>
          <w:tcPr/>
          <w:p>
            <w:pPr>
              <w:pStyle w:val="Compact"/>
            </w:pPr>
            <w:r>
              <w:t xml:space="preserve">Métrica de container (Docker stats / Kubernetes metrics).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Xf06bcfa06f8784f8d1df5ef29eb66ab3cc87220"/>
    <w:p>
      <w:pPr>
        <w:pStyle w:val="Heading2"/>
      </w:pPr>
      <w:r>
        <w:t xml:space="preserve">4. Compatibility — Compatibilidade</w:t>
      </w:r>
    </w:p>
    <w:bookmarkStart w:id="14" w:name="X468a025391431e7d05c64799364d672f8d1f3ba"/>
    <w:p>
      <w:pPr>
        <w:pStyle w:val="Heading3"/>
      </w:pPr>
      <w:r>
        <w:t xml:space="preserve">Subcaracterísticas: Co-existence, Interoperability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Métrica / Critério de aceite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RNF-CO-01</w:t>
            </w:r>
          </w:p>
        </w:tc>
        <w:tc>
          <w:tcPr/>
          <w:p>
            <w:pPr>
              <w:pStyle w:val="Compact"/>
            </w:pPr>
            <w:r>
              <w:t xml:space="preserve">Suporte aos navegadores Chrome, Edge, Safari e Firefox nas duas versões mais recentes.</w:t>
            </w:r>
          </w:p>
        </w:tc>
        <w:tc>
          <w:tcPr/>
          <w:p>
            <w:pPr>
              <w:pStyle w:val="Compact"/>
            </w:pPr>
            <w:r>
              <w:t xml:space="preserve">Teste cross-browser passando.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RNF-CO-02</w:t>
            </w:r>
          </w:p>
        </w:tc>
        <w:tc>
          <w:tcPr/>
          <w:p>
            <w:pPr>
              <w:pStyle w:val="Compact"/>
            </w:pPr>
            <w:r>
              <w:t xml:space="preserve">Interface responsiva entre 320px e 1920px de largura.</w:t>
            </w:r>
          </w:p>
        </w:tc>
        <w:tc>
          <w:tcPr/>
          <w:p>
            <w:pPr>
              <w:pStyle w:val="Compact"/>
            </w:pPr>
            <w:r>
              <w:t xml:space="preserve">Validação visual em breakpoints (320, 360, 768, 1024, 1440, 1920).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RNF-CO-03</w:t>
            </w:r>
          </w:p>
        </w:tc>
        <w:tc>
          <w:tcPr/>
          <w:p>
            <w:pPr>
              <w:pStyle w:val="Compact"/>
            </w:pPr>
            <w:r>
              <w:t xml:space="preserve">Integração com WhatsApp Business API (Meta direta, Twilio ou Z-API) sem alteração de código de domínio (apenas adaptador).</w:t>
            </w:r>
          </w:p>
        </w:tc>
        <w:tc>
          <w:tcPr/>
          <w:p>
            <w:pPr>
              <w:pStyle w:val="Compact"/>
            </w:pPr>
            <w:r>
              <w:t xml:space="preserve">Switch de provedor por configuração.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RNF-CO-04</w:t>
            </w:r>
          </w:p>
        </w:tc>
        <w:tc>
          <w:tcPr/>
          <w:p>
            <w:pPr>
              <w:pStyle w:val="Compact"/>
            </w:pPr>
            <w:r>
              <w:t xml:space="preserve">Integração com servidor SMTP por configuração.</w:t>
            </w:r>
          </w:p>
        </w:tc>
        <w:tc>
          <w:tcPr/>
          <w:p>
            <w:pPr>
              <w:pStyle w:val="Compact"/>
            </w:pPr>
            <w:r>
              <w:t xml:space="preserve">Switch de provedor sem alteração de código.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RNF-CO-05</w:t>
            </w:r>
          </w:p>
        </w:tc>
        <w:tc>
          <w:tcPr/>
          <w:p>
            <w:pPr>
              <w:pStyle w:val="Compact"/>
            </w:pPr>
            <w:r>
              <w:t xml:space="preserve">Exportação de prontuário e recibo em PDF/A para arquivamento de longo prazo.</w:t>
            </w:r>
          </w:p>
        </w:tc>
        <w:tc>
          <w:tcPr/>
          <w:p>
            <w:pPr>
              <w:pStyle w:val="Compact"/>
            </w:pPr>
            <w:r>
              <w:t xml:space="preserve">Validação de PDF/A-3.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7" w:name="Xfc6cf8237bc161de04c3163bc8ec108671353ec"/>
    <w:p>
      <w:pPr>
        <w:pStyle w:val="Heading2"/>
      </w:pPr>
      <w:r>
        <w:t xml:space="preserve">5. Usability — Usabilidade</w:t>
      </w:r>
    </w:p>
    <w:bookmarkStart w:id="16" w:name="X341b139d751e3dd60f068d0712975692ce23d60"/>
    <w:p>
      <w:pPr>
        <w:pStyle w:val="Heading3"/>
      </w:pPr>
      <w:r>
        <w:t xml:space="preserve">Subcaracterísticas: Appropriateness Recognizability, Learnability, Operability, User Error Protection, UI Aesthetics, Accessibility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Métrica / Critério de aceite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RNF-US-01</w:t>
            </w:r>
          </w:p>
        </w:tc>
        <w:tc>
          <w:tcPr/>
          <w:p>
            <w:pPr>
              <w:pStyle w:val="Compact"/>
            </w:pPr>
            <w:r>
              <w:t xml:space="preserve">Onboarding de novo usuário (qualquer papel) deve ser concluído em ≤ 10 min sem treinamento prévio.</w:t>
            </w:r>
          </w:p>
        </w:tc>
        <w:tc>
          <w:tcPr/>
          <w:p>
            <w:pPr>
              <w:pStyle w:val="Compact"/>
            </w:pPr>
            <w:r>
              <w:t xml:space="preserve">Teste com 3+ usuários por papel; tempo médio ≤ 10 min.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RNF-US-02</w:t>
            </w:r>
          </w:p>
        </w:tc>
        <w:tc>
          <w:tcPr/>
          <w:p>
            <w:pPr>
              <w:pStyle w:val="Compact"/>
            </w:pPr>
            <w:r>
              <w:t xml:space="preserve">Acessibilidade nível WCAG 2.1 AA.</w:t>
            </w:r>
          </w:p>
        </w:tc>
        <w:tc>
          <w:tcPr/>
          <w:p>
            <w:pPr>
              <w:pStyle w:val="Compact"/>
            </w:pPr>
            <w:r>
              <w:t xml:space="preserve">Auditoria com axe-core; zero violações críticas.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RNF-US-03</w:t>
            </w:r>
          </w:p>
        </w:tc>
        <w:tc>
          <w:tcPr/>
          <w:p>
            <w:pPr>
              <w:pStyle w:val="Compact"/>
            </w:pPr>
            <w:r>
              <w:t xml:space="preserve">Mensagens de erro devem ser claras, em pt-BR, e sugerir ação corretiva.</w:t>
            </w:r>
          </w:p>
        </w:tc>
        <w:tc>
          <w:tcPr/>
          <w:p>
            <w:pPr>
              <w:pStyle w:val="Compact"/>
            </w:pPr>
            <w:r>
              <w:t xml:space="preserve">Revisão de UX writing por 2 integrantes.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RNF-US-04</w:t>
            </w:r>
          </w:p>
        </w:tc>
        <w:tc>
          <w:tcPr/>
          <w:p>
            <w:pPr>
              <w:pStyle w:val="Compact"/>
            </w:pPr>
            <w:r>
              <w:t xml:space="preserve">Operações destrutivas (excluir paciente, cancelar sessão) exigem confirmação explícita.</w:t>
            </w:r>
          </w:p>
        </w:tc>
        <w:tc>
          <w:tcPr/>
          <w:p>
            <w:pPr>
              <w:pStyle w:val="Compact"/>
            </w:pPr>
            <w:r>
              <w:t xml:space="preserve">Inspeção de UI.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RNF-US-05</w:t>
            </w:r>
          </w:p>
        </w:tc>
        <w:tc>
          <w:tcPr/>
          <w:p>
            <w:pPr>
              <w:pStyle w:val="Compact"/>
            </w:pPr>
            <w:r>
              <w:t xml:space="preserve">Interface mobile-first (densidade de informação otimizada para 360px primeiro).</w:t>
            </w:r>
          </w:p>
        </w:tc>
        <w:tc>
          <w:tcPr/>
          <w:p>
            <w:pPr>
              <w:pStyle w:val="Compact"/>
            </w:pPr>
            <w:r>
              <w:t xml:space="preserve">Inspeção de protótipos Figma.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RNF-US-06</w:t>
            </w:r>
          </w:p>
        </w:tc>
        <w:tc>
          <w:tcPr/>
          <w:p>
            <w:pPr>
              <w:pStyle w:val="Compact"/>
            </w:pPr>
            <w:r>
              <w:t xml:space="preserve">Formulários longos (anamnese) devem suportar salvamento automático.</w:t>
            </w:r>
          </w:p>
        </w:tc>
        <w:tc>
          <w:tcPr/>
          <w:p>
            <w:pPr>
              <w:pStyle w:val="Compact"/>
            </w:pPr>
            <w:r>
              <w:t xml:space="preserve">Salvar a cada 30s ou em mudança de campo.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RNF-US-07</w:t>
            </w:r>
          </w:p>
        </w:tc>
        <w:tc>
          <w:tcPr/>
          <w:p>
            <w:pPr>
              <w:pStyle w:val="Compact"/>
            </w:pPr>
            <w:r>
              <w:t xml:space="preserve">Suporte a teclado completo (todas as ações acessíveis sem mouse).</w:t>
            </w:r>
          </w:p>
        </w:tc>
        <w:tc>
          <w:tcPr/>
          <w:p>
            <w:pPr>
              <w:pStyle w:val="Compact"/>
            </w:pPr>
            <w:r>
              <w:t xml:space="preserve">Teste manual de navegação por Tab/Enter.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9" w:name="X661c7d4240b87bfbb3d1d59fe3a1f475045ff9a"/>
    <w:p>
      <w:pPr>
        <w:pStyle w:val="Heading2"/>
      </w:pPr>
      <w:r>
        <w:t xml:space="preserve">6. Reliability — Confiabilidade</w:t>
      </w:r>
    </w:p>
    <w:bookmarkStart w:id="18" w:name="X1e690018f11942443e0bb890c19f87ea5e66fff"/>
    <w:p>
      <w:pPr>
        <w:pStyle w:val="Heading3"/>
      </w:pPr>
      <w:r>
        <w:t xml:space="preserve">Subcaracterísticas: Maturity, Availability, Fault Tolerance, Recoverability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Métrica / Critério de aceite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RNF-RE-01</w:t>
            </w:r>
          </w:p>
        </w:tc>
        <w:tc>
          <w:tcPr/>
          <w:p>
            <w:pPr>
              <w:pStyle w:val="Compact"/>
            </w:pPr>
            <w:r>
              <w:t xml:space="preserve">Disponibilidade do sistema ≥ 99% mensal.</w:t>
            </w:r>
          </w:p>
        </w:tc>
        <w:tc>
          <w:tcPr/>
          <w:p>
            <w:pPr>
              <w:pStyle w:val="Compact"/>
            </w:pPr>
            <w:r>
              <w:t xml:space="preserve">Monitoramento de uptime (StatusPage ou similar).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RNF-RE-02</w:t>
            </w:r>
          </w:p>
        </w:tc>
        <w:tc>
          <w:tcPr/>
          <w:p>
            <w:pPr>
              <w:pStyle w:val="Compact"/>
            </w:pPr>
            <w:r>
              <w:t xml:space="preserve">Backups automáticos diários com retenção mínima de 30 dias.</w:t>
            </w:r>
          </w:p>
        </w:tc>
        <w:tc>
          <w:tcPr/>
          <w:p>
            <w:pPr>
              <w:pStyle w:val="Compact"/>
            </w:pPr>
            <w:r>
              <w:t xml:space="preserve">Validação semanal de restore.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RNF-RE-03</w:t>
            </w:r>
          </w:p>
        </w:tc>
        <w:tc>
          <w:tcPr/>
          <w:p>
            <w:pPr>
              <w:pStyle w:val="Compact"/>
            </w:pPr>
            <w:r>
              <w:t xml:space="preserve">Tempo de recuperação após falha (RTO) ≤ 4h.</w:t>
            </w:r>
          </w:p>
        </w:tc>
        <w:tc>
          <w:tcPr/>
          <w:p>
            <w:pPr>
              <w:pStyle w:val="Compact"/>
            </w:pPr>
            <w:r>
              <w:t xml:space="preserve">Testado em DR drill semestral.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RNF-RE-04</w:t>
            </w:r>
          </w:p>
        </w:tc>
        <w:tc>
          <w:tcPr/>
          <w:p>
            <w:pPr>
              <w:pStyle w:val="Compact"/>
            </w:pPr>
            <w:r>
              <w:t xml:space="preserve">Perda máxima de dados aceitável (RPO) ≤ 24h.</w:t>
            </w:r>
          </w:p>
        </w:tc>
        <w:tc>
          <w:tcPr/>
          <w:p>
            <w:pPr>
              <w:pStyle w:val="Compact"/>
            </w:pPr>
            <w:r>
              <w:t xml:space="preserve">Validado pela política de backup.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RNF-RE-05</w:t>
            </w:r>
          </w:p>
        </w:tc>
        <w:tc>
          <w:tcPr/>
          <w:p>
            <w:pPr>
              <w:pStyle w:val="Compact"/>
            </w:pPr>
            <w:r>
              <w:t xml:space="preserve">Reenvio automático de lembretes em caso de falha de mensageria (até 3 tentativas com backoff).</w:t>
            </w:r>
          </w:p>
        </w:tc>
        <w:tc>
          <w:tcPr/>
          <w:p>
            <w:pPr>
              <w:pStyle w:val="Compact"/>
            </w:pPr>
            <w:r>
              <w:t xml:space="preserve">Teste de injeção de falha.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RNF-RE-06</w:t>
            </w:r>
          </w:p>
        </w:tc>
        <w:tc>
          <w:tcPr/>
          <w:p>
            <w:pPr>
              <w:pStyle w:val="Compact"/>
            </w:pPr>
            <w:r>
              <w:t xml:space="preserve">O sistema não deve perder dados em caso de falha durante operação de escrita (transações atômicas).</w:t>
            </w:r>
          </w:p>
        </w:tc>
        <w:tc>
          <w:tcPr/>
          <w:p>
            <w:pPr>
              <w:pStyle w:val="Compact"/>
            </w:pPr>
            <w:r>
              <w:t xml:space="preserve">Testes de crash recovery.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1" w:name="X7843c7b73690cc7bc4136ff7ee17e7c12c9baf4"/>
    <w:p>
      <w:pPr>
        <w:pStyle w:val="Heading2"/>
      </w:pPr>
      <w:r>
        <w:t xml:space="preserve">7. Security — Segurança</w:t>
      </w:r>
    </w:p>
    <w:bookmarkStart w:id="20" w:name="X4c8d80e241b6649a9319b70ed0a7219d0f93983"/>
    <w:p>
      <w:pPr>
        <w:pStyle w:val="Heading3"/>
      </w:pPr>
      <w:r>
        <w:t xml:space="preserve">Subcaracterísticas: Confidentiality, Integrity, Non-repudiation, Accountability, Authenticity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Métrica / Critério de aceite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RNF-SE-01</w:t>
            </w:r>
          </w:p>
        </w:tc>
        <w:tc>
          <w:tcPr/>
          <w:p>
            <w:pPr>
              <w:pStyle w:val="Compact"/>
            </w:pPr>
            <w:r>
              <w:t xml:space="preserve">Comunicação cliente-servidor exclusivamente sobre TLS 1.2+.</w:t>
            </w:r>
          </w:p>
        </w:tc>
        <w:tc>
          <w:tcPr/>
          <w:p>
            <w:pPr>
              <w:pStyle w:val="Compact"/>
            </w:pPr>
            <w:r>
              <w:t xml:space="preserve">Configuração de servidor; HSTS habilitado.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RNF-SE-02</w:t>
            </w:r>
          </w:p>
        </w:tc>
        <w:tc>
          <w:tcPr/>
          <w:p>
            <w:pPr>
              <w:pStyle w:val="Compact"/>
            </w:pPr>
            <w:r>
              <w:t xml:space="preserve">Dados pessoais sensíveis (CPF, prontuário, anexos) criptografados em repouso (AES-256).</w:t>
            </w:r>
          </w:p>
        </w:tc>
        <w:tc>
          <w:tcPr/>
          <w:p>
            <w:pPr>
              <w:pStyle w:val="Compact"/>
            </w:pPr>
            <w:r>
              <w:t xml:space="preserve">Inspeção de configuração de banco e storage.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RNF-SE-03</w:t>
            </w:r>
          </w:p>
        </w:tc>
        <w:tc>
          <w:tcPr/>
          <w:p>
            <w:pPr>
              <w:pStyle w:val="Compact"/>
            </w:pPr>
            <w:r>
              <w:t xml:space="preserve">Senhas armazenadas com hashing forte (bcrypt/argon2id, custo ≥ 12).</w:t>
            </w:r>
          </w:p>
        </w:tc>
        <w:tc>
          <w:tcPr/>
          <w:p>
            <w:pPr>
              <w:pStyle w:val="Compact"/>
            </w:pPr>
            <w:r>
              <w:t xml:space="preserve">Inspeção de código.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RNF-SE-04</w:t>
            </w:r>
          </w:p>
        </w:tc>
        <w:tc>
          <w:tcPr/>
          <w:p>
            <w:pPr>
              <w:pStyle w:val="Compact"/>
            </w:pPr>
            <w:r>
              <w:t xml:space="preserve">Autenticação multifator (MFA) opcional para Admin e Profissional.</w:t>
            </w:r>
          </w:p>
        </w:tc>
        <w:tc>
          <w:tcPr/>
          <w:p>
            <w:pPr>
              <w:pStyle w:val="Compact"/>
            </w:pPr>
            <w:r>
              <w:t xml:space="preserve">Configurável no perfil.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RNF-SE-05</w:t>
            </w:r>
          </w:p>
        </w:tc>
        <w:tc>
          <w:tcPr/>
          <w:p>
            <w:pPr>
              <w:pStyle w:val="Compact"/>
            </w:pPr>
            <w:r>
              <w:t xml:space="preserve">RBAC com papéis Admin, Profissional, Secretária, Paciente.</w:t>
            </w:r>
          </w:p>
        </w:tc>
        <w:tc>
          <w:tcPr/>
          <w:p>
            <w:pPr>
              <w:pStyle w:val="Compact"/>
            </w:pPr>
            <w:r>
              <w:t xml:space="preserve">Inspeção de matriz de permissões.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RNF-SE-06</w:t>
            </w:r>
          </w:p>
        </w:tc>
        <w:tc>
          <w:tcPr/>
          <w:p>
            <w:pPr>
              <w:pStyle w:val="Compact"/>
            </w:pPr>
            <w:r>
              <w:t xml:space="preserve">Log de auditoria registra usuário, timestamp, IP, ação e dados antes/depois para operações sensíveis.</w:t>
            </w:r>
          </w:p>
        </w:tc>
        <w:tc>
          <w:tcPr/>
          <w:p>
            <w:pPr>
              <w:pStyle w:val="Compact"/>
            </w:pPr>
            <w:r>
              <w:t xml:space="preserve">Inspeção de log e retenção mínima de 12 meses.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RNF-SE-07</w:t>
            </w:r>
          </w:p>
        </w:tc>
        <w:tc>
          <w:tcPr/>
          <w:p>
            <w:pPr>
              <w:pStyle w:val="Compact"/>
            </w:pPr>
            <w:r>
              <w:t xml:space="preserve">Conformidade LGPD: consentimento explícito, portabilidade, exclusão (anonimização para prontuário).</w:t>
            </w:r>
          </w:p>
        </w:tc>
        <w:tc>
          <w:tcPr/>
          <w:p>
            <w:pPr>
              <w:pStyle w:val="Compact"/>
            </w:pPr>
            <w:r>
              <w:t xml:space="preserve">Auditoria contra checklist LGPD ANPD.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RNF-SE-08</w:t>
            </w:r>
          </w:p>
        </w:tc>
        <w:tc>
          <w:tcPr/>
          <w:p>
            <w:pPr>
              <w:pStyle w:val="Compact"/>
            </w:pPr>
            <w:r>
              <w:t xml:space="preserve">Rate limiting em autenticação (≤ 10 tentativas/min/IP).</w:t>
            </w:r>
          </w:p>
        </w:tc>
        <w:tc>
          <w:tcPr/>
          <w:p>
            <w:pPr>
              <w:pStyle w:val="Compact"/>
            </w:pPr>
            <w:r>
              <w:t xml:space="preserve">Configuração de gateway.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RNF-SE-09</w:t>
            </w:r>
          </w:p>
        </w:tc>
        <w:tc>
          <w:tcPr/>
          <w:p>
            <w:pPr>
              <w:pStyle w:val="Compact"/>
            </w:pPr>
            <w:r>
              <w:t xml:space="preserve">Sanitização de input para prevenir SQL Injection e XSS.</w:t>
            </w:r>
          </w:p>
        </w:tc>
        <w:tc>
          <w:tcPr/>
          <w:p>
            <w:pPr>
              <w:pStyle w:val="Compact"/>
            </w:pPr>
            <w:r>
              <w:t xml:space="preserve">Code review obrigatório + scanner SAST.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RNF-SE-10</w:t>
            </w:r>
          </w:p>
        </w:tc>
        <w:tc>
          <w:tcPr/>
          <w:p>
            <w:pPr>
              <w:pStyle w:val="Compact"/>
            </w:pPr>
            <w:r>
              <w:t xml:space="preserve">Sessão com expiração após 30 min de inatividade.</w:t>
            </w:r>
          </w:p>
        </w:tc>
        <w:tc>
          <w:tcPr/>
          <w:p>
            <w:pPr>
              <w:pStyle w:val="Compact"/>
            </w:pPr>
            <w:r>
              <w:t xml:space="preserve">Configuração.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Xd4133b6b8c0c27cba8d0fd68fc1ab851bfc89d8"/>
    <w:p>
      <w:pPr>
        <w:pStyle w:val="Heading2"/>
      </w:pPr>
      <w:r>
        <w:t xml:space="preserve">8. Maintainability — Manutenibilidade</w:t>
      </w:r>
    </w:p>
    <w:bookmarkStart w:id="22" w:name="X4094058d28abf516e4be8a68e54a6f41c082186"/>
    <w:p>
      <w:pPr>
        <w:pStyle w:val="Heading3"/>
      </w:pPr>
      <w:r>
        <w:t xml:space="preserve">Subcaracterísticas: Modularity, Reusability, Analysability, Modifiability, Testability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Métrica / Critério de aceite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RNF-MA-01</w:t>
            </w:r>
          </w:p>
        </w:tc>
        <w:tc>
          <w:tcPr/>
          <w:p>
            <w:pPr>
              <w:pStyle w:val="Compact"/>
            </w:pPr>
            <w:r>
              <w:t xml:space="preserve">Cobertura de testes unitários ≥ 70% no backend.</w:t>
            </w:r>
          </w:p>
        </w:tc>
        <w:tc>
          <w:tcPr/>
          <w:p>
            <w:pPr>
              <w:pStyle w:val="Compact"/>
            </w:pPr>
            <w:r>
              <w:t xml:space="preserve">Relatório de cobertura no CI.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RNF-MA-02</w:t>
            </w:r>
          </w:p>
        </w:tc>
        <w:tc>
          <w:tcPr/>
          <w:p>
            <w:pPr>
              <w:pStyle w:val="Compact"/>
            </w:pPr>
            <w:r>
              <w:t xml:space="preserve">Código segue guia de estilo (linter sem violações em CI).</w:t>
            </w:r>
          </w:p>
        </w:tc>
        <w:tc>
          <w:tcPr/>
          <w:p>
            <w:pPr>
              <w:pStyle w:val="Compact"/>
            </w:pPr>
            <w:r>
              <w:t xml:space="preserve">Pipeline com ESLint/Pylint/etc. obrigatório.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RNF-MA-03</w:t>
            </w:r>
          </w:p>
        </w:tc>
        <w:tc>
          <w:tcPr/>
          <w:p>
            <w:pPr>
              <w:pStyle w:val="Compact"/>
            </w:pPr>
            <w:r>
              <w:t xml:space="preserve">Cada feature em módulo com fronteiras claras (alta coesão, baixo acoplamento).</w:t>
            </w:r>
          </w:p>
        </w:tc>
        <w:tc>
          <w:tcPr/>
          <w:p>
            <w:pPr>
              <w:pStyle w:val="Compact"/>
            </w:pPr>
            <w:r>
              <w:t xml:space="preserve">Análise de dependências por revisor.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RNF-MA-04</w:t>
            </w:r>
          </w:p>
        </w:tc>
        <w:tc>
          <w:tcPr/>
          <w:p>
            <w:pPr>
              <w:pStyle w:val="Compact"/>
            </w:pPr>
            <w:r>
              <w:t xml:space="preserve">Documentação de API publicada (OpenAPI 3 / Swagger UI).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t xml:space="preserve">acessível em ambiente de desenvolvimento.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RNF-MA-05</w:t>
            </w:r>
          </w:p>
        </w:tc>
        <w:tc>
          <w:tcPr/>
          <w:p>
            <w:pPr>
              <w:pStyle w:val="Compact"/>
            </w:pPr>
            <w:r>
              <w:t xml:space="preserve">Migrações de banco versionadas e reversíveis (Flyway/Liquibase ou equivalente).</w:t>
            </w:r>
          </w:p>
        </w:tc>
        <w:tc>
          <w:tcPr/>
          <w:p>
            <w:pPr>
              <w:pStyle w:val="Compact"/>
            </w:pPr>
            <w:r>
              <w:t xml:space="preserve">Inspeção de pasta de migrations.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RNF-MA-06</w:t>
            </w:r>
          </w:p>
        </w:tc>
        <w:tc>
          <w:tcPr/>
          <w:p>
            <w:pPr>
              <w:pStyle w:val="Compact"/>
            </w:pPr>
            <w:r>
              <w:t xml:space="preserve">Logs estruturados em JSON com correlation ID.</w:t>
            </w:r>
          </w:p>
        </w:tc>
        <w:tc>
          <w:tcPr/>
          <w:p>
            <w:pPr>
              <w:pStyle w:val="Compact"/>
            </w:pPr>
            <w:r>
              <w:t xml:space="preserve">Inspeção de output.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X7bb176424e47772974b52337eeb3f3f4bfb5cd1"/>
    <w:p>
      <w:pPr>
        <w:pStyle w:val="Heading2"/>
      </w:pPr>
      <w:r>
        <w:t xml:space="preserve">9. Portability — Portabilidade</w:t>
      </w:r>
    </w:p>
    <w:bookmarkStart w:id="24" w:name="X722169b67d89a2f385f49c6541be288e2cdd52a"/>
    <w:p>
      <w:pPr>
        <w:pStyle w:val="Heading3"/>
      </w:pPr>
      <w:r>
        <w:t xml:space="preserve">Subcaracterísticas: Adaptability, Installability, Replaceability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Métrica / Critério de aceite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RNF-PO-01</w:t>
            </w:r>
          </w:p>
        </w:tc>
        <w:tc>
          <w:tcPr/>
          <w:p>
            <w:pPr>
              <w:pStyle w:val="Compact"/>
            </w:pPr>
            <w:r>
              <w:t xml:space="preserve">Aplicação containerizada (Docker) com</w:t>
            </w:r>
            <w:r>
              <w:t xml:space="preserve"> </w:t>
            </w:r>
            <w:r>
              <w:rPr>
                <w:rStyle w:val="VerbatimChar"/>
              </w:rPr>
              <w:t xml:space="preserve">docker-compose</w:t>
            </w:r>
            <w:r>
              <w:t xml:space="preserve"> </w:t>
            </w:r>
            <w:r>
              <w:t xml:space="preserve">para ambiente local.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RNF-PO-02</w:t>
            </w:r>
          </w:p>
        </w:tc>
        <w:tc>
          <w:tcPr/>
          <w:p>
            <w:pPr>
              <w:pStyle w:val="Compact"/>
            </w:pPr>
            <w:r>
              <w:t xml:space="preserve">Deployment automatizado em pelo menos um provedor cloud (AWS, GCP, Azure ou Oracle).</w:t>
            </w:r>
          </w:p>
        </w:tc>
        <w:tc>
          <w:tcPr/>
          <w:p>
            <w:pPr>
              <w:pStyle w:val="Compact"/>
            </w:pPr>
            <w:r>
              <w:t xml:space="preserve">Pipeline CD funcional.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RNF-PO-03</w:t>
            </w:r>
          </w:p>
        </w:tc>
        <w:tc>
          <w:tcPr/>
          <w:p>
            <w:pPr>
              <w:pStyle w:val="Compact"/>
            </w:pPr>
            <w:r>
              <w:t xml:space="preserve">Configurações sensíveis externalizadas (variáveis de ambiente / secrets manager).</w:t>
            </w:r>
          </w:p>
        </w:tc>
        <w:tc>
          <w:tcPr/>
          <w:p>
            <w:pPr>
              <w:pStyle w:val="Compact"/>
            </w:pPr>
            <w:r>
              <w:t xml:space="preserve">Inspeção: nenhum segredo hardcoded.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RNF-PO-04</w:t>
            </w:r>
          </w:p>
        </w:tc>
        <w:tc>
          <w:tcPr/>
          <w:p>
            <w:pPr>
              <w:pStyle w:val="Compact"/>
            </w:pPr>
            <w:r>
              <w:t xml:space="preserve">Banco de dados intercambiável entre PostgreSQL e MySQL via ORM (sem SQL específico de fornecedor).</w:t>
            </w:r>
          </w:p>
        </w:tc>
        <w:tc>
          <w:tcPr/>
          <w:p>
            <w:pPr>
              <w:pStyle w:val="Compact"/>
            </w:pPr>
            <w:r>
              <w:t xml:space="preserve">Pipeline com testes nos dois bancos.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b99b98a0c8022df5b89cd70eaab64e1568d1017"/>
    <w:p>
      <w:pPr>
        <w:pStyle w:val="Heading2"/>
      </w:pPr>
      <w:r>
        <w:t xml:space="preserve">10. Resumo executivo (alvos numéricos)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mensal</w:t>
            </w:r>
          </w:p>
        </w:tc>
        <w:tc>
          <w:tcPr/>
          <w:p>
            <w:pPr>
              <w:pStyle w:val="Compact"/>
            </w:pPr>
            <w:r>
              <w:t xml:space="preserve">≥ 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leitura</w:t>
            </w:r>
          </w:p>
        </w:tc>
        <w:tc>
          <w:tcPr/>
          <w:p>
            <w:pPr>
              <w:pStyle w:val="Compact"/>
            </w:pPr>
            <w:r>
              <w:t xml:space="preserve">≤ 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escrita</w:t>
            </w:r>
          </w:p>
        </w:tc>
        <w:tc>
          <w:tcPr/>
          <w:p>
            <w:pPr>
              <w:pStyle w:val="Compact"/>
            </w:pPr>
            <w:r>
              <w:t xml:space="preserve">≤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testes backend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novo usuário</w:t>
            </w:r>
          </w:p>
        </w:tc>
        <w:tc>
          <w:tcPr/>
          <w:p>
            <w:pPr>
              <w:pStyle w:val="Compact"/>
            </w:pPr>
            <w:r>
              <w:t xml:space="preserve">≤ 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≤ 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≤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Criptografia em trânsito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Criptografia em repouso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de senha</w:t>
            </w:r>
          </w:p>
        </w:tc>
        <w:tc>
          <w:tcPr/>
          <w:p>
            <w:pPr>
              <w:pStyle w:val="Compact"/>
            </w:pPr>
            <w:r>
              <w:t xml:space="preserve">bcrypt/argon2id (custo ≥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Pico de usuários simultâneos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ff336d83453f6097c2d8909f312b6eeda3c984b"/>
    <w:p>
      <w:pPr>
        <w:pStyle w:val="Heading2"/>
      </w:pPr>
      <w:r>
        <w:t xml:space="preserve">11. Rastreabilidade RNF ↔ Necessidade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RNF</w:t>
            </w:r>
          </w:p>
        </w:tc>
        <w:tc>
          <w:tcPr/>
          <w:p>
            <w:pPr>
              <w:pStyle w:val="Compact"/>
            </w:pPr>
            <w:r>
              <w:t xml:space="preserve">Necessidade atendida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RNF-PE-01 a 05</w:t>
            </w:r>
          </w:p>
        </w:tc>
        <w:tc>
          <w:tcPr/>
          <w:p>
            <w:pPr>
              <w:pStyle w:val="Compact"/>
            </w:pPr>
            <w:r>
              <w:t xml:space="preserve">(qualidade transversal)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RNF-CO-02</w:t>
            </w:r>
          </w:p>
        </w:tc>
        <w:tc>
          <w:tcPr/>
          <w:p>
            <w:pPr>
              <w:pStyle w:val="Compact"/>
            </w:pPr>
            <w:r>
              <w:t xml:space="preserve">N06 —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RNF-RE-01 a 06</w:t>
            </w:r>
          </w:p>
        </w:tc>
        <w:tc>
          <w:tcPr/>
          <w:p>
            <w:pPr>
              <w:pStyle w:val="Compact"/>
            </w:pPr>
            <w:r>
              <w:t xml:space="preserve">(qualidade transversal — viabiliza N01 e N02)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RNF-SE-01 a 10</w:t>
            </w:r>
          </w:p>
        </w:tc>
        <w:tc>
          <w:tcPr/>
          <w:p>
            <w:pPr>
              <w:pStyle w:val="Compact"/>
            </w:pPr>
            <w:r>
              <w:t xml:space="preserve">N02, N05 — LGPD e prontuário seguro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RNF-US-01 a 07</w:t>
            </w:r>
          </w:p>
        </w:tc>
        <w:tc>
          <w:tcPr/>
          <w:p>
            <w:pPr>
              <w:pStyle w:val="Compact"/>
            </w:pPr>
            <w:r>
              <w:t xml:space="preserve">(qualidade transversal — viabiliza adoção)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2026-05-07T22:57:23Z</dcterms:created>
  <dcterms:modified xsi:type="dcterms:W3CDTF">2026-05-07T22:57:23Z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