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Поля для заявки в АС «Фонд-М»: готовые формулировки</w:t>
      </w:r>
    </w:p>
    <w:p>
      <w:r>
        <w:t>Текст подготовлен так, чтобы его можно было копировать в поля заявки без</w:t>
      </w:r>
    </w:p>
    <w:p>
      <w:r>
        <w:t>правки. Все формулировки — научно-исследовательские (без слов о производстве,</w:t>
      </w:r>
    </w:p>
    <w:p>
      <w:r>
        <w:t>сертификации, продвижении, закупках и патентовании: эти виды работ в</w:t>
      </w:r>
    </w:p>
    <w:p>
      <w:r>
        <w:t>календарный план не включаются).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Название проекта</w:t>
      </w:r>
    </w:p>
    <w:p>
      <w:r>
        <w:t>**Разработка и исследование метода автоматического выявления недостоверных</w:t>
      </w:r>
    </w:p>
    <w:p>
      <w:r>
        <w:t>фрагментов текста на основе сопоставления ответа с документом-источником**</w:t>
      </w:r>
    </w:p>
    <w:p>
      <w:r>
        <w:t xml:space="preserve">Короткое название (для интерфейсов и презентаций): </w:t>
      </w:r>
      <w:r>
        <w:rPr>
          <w:b/>
        </w:rPr>
        <w:t>SpanVerify</w:t>
      </w:r>
      <w:r>
        <w:t>.</w:t>
      </w:r>
    </w:p>
    <w:p>
      <w:pPr>
        <w:pStyle w:val="Heading2"/>
      </w:pPr>
      <w:r>
        <w:t>2. Направление</w:t>
      </w:r>
    </w:p>
    <w:p>
      <w:r>
        <w:t>Информационные технологии, искусственный интеллект, обработка естественного</w:t>
      </w:r>
    </w:p>
    <w:p>
      <w:r>
        <w:t>языка; инструменты контроля качества текстов, порождаемых генеративными</w:t>
      </w:r>
    </w:p>
    <w:p>
      <w:r>
        <w:t>моделями.</w:t>
      </w:r>
    </w:p>
    <w:p>
      <w:pPr>
        <w:pStyle w:val="Heading2"/>
      </w:pPr>
      <w:r>
        <w:t>3. Аннотация (до 800 знаков)</w:t>
      </w:r>
    </w:p>
    <w:p>
      <w:r>
        <w:t>Проект посвящён задаче, которая возникает при практическом применении</w:t>
      </w:r>
    </w:p>
    <w:p>
      <w:r>
        <w:t>генеративных языковых моделей: модель уверенно выдаёт утверждения, которые не</w:t>
      </w:r>
    </w:p>
    <w:p>
      <w:r>
        <w:t>подтверждаются источником — числовые значения, сроки, ссылки на нормы.</w:t>
      </w:r>
    </w:p>
    <w:p>
      <w:r>
        <w:t>Предлагается метод проверки ответа относительно документа-источника: по каждому</w:t>
      </w:r>
    </w:p>
    <w:p>
      <w:r>
        <w:t>токену ответа вычисляются признаки (энтропия внимания модели, доля внимания на</w:t>
      </w:r>
    </w:p>
    <w:p>
      <w:r>
        <w:t>документ, плотность близости к фрагментам документа), из них формируется оценка</w:t>
      </w:r>
    </w:p>
    <w:p>
      <w:r>
        <w:t>риска, а найденные участки объединяются в связные фрагменты с метками</w:t>
      </w:r>
    </w:p>
    <w:p>
      <w:r>
        <w:t>«сомнительно» и «высокий риск». Метод откалиброван по целевому уровню ложных</w:t>
      </w:r>
    </w:p>
    <w:p>
      <w:r>
        <w:t>срабатываний, реализован в виде программы и HTTP-интерфейса, проверен на</w:t>
      </w:r>
    </w:p>
    <w:p>
      <w:r>
        <w:t>контрольном наборе пар «документ — ответ». Результат — инструмент, который</w:t>
      </w:r>
    </w:p>
    <w:p>
      <w:r>
        <w:t>показывает человеку места, требующие перечитки, и количественно описывает</w:t>
      </w:r>
    </w:p>
    <w:p>
      <w:r>
        <w:t>степень опоры ответа на источник.</w:t>
      </w:r>
    </w:p>
    <w:p>
      <w:pPr>
        <w:pStyle w:val="Heading2"/>
      </w:pPr>
      <w:r>
        <w:t>4. Актуальность</w:t>
      </w:r>
    </w:p>
    <w:p>
      <w:r>
        <w:t>Генеративные модели всё шире применяются для подготовки справок, ответов на</w:t>
      </w:r>
    </w:p>
    <w:p>
      <w:r>
        <w:t>запросы и обобщений документации. Ошибки в таких текстах (подмена числовых</w:t>
      </w:r>
    </w:p>
    <w:p>
      <w:r>
        <w:t>значений, ссылки на несуществующие положения) обнаруживаются человеком</w:t>
      </w:r>
    </w:p>
    <w:p>
      <w:r>
        <w:t>несистематически: на глаз правдоподобный текст выглядит корректным.</w:t>
      </w:r>
    </w:p>
    <w:p>
      <w:r>
        <w:t>Существующие средства либо оценивают «похожесть на ИИ» без обращения к</w:t>
      </w:r>
    </w:p>
    <w:p>
      <w:r>
        <w:t>источнику, либо требуют разметки больших корпусов. Задача сопоставления ответа</w:t>
      </w:r>
    </w:p>
    <w:p>
      <w:r>
        <w:t>с конкретным документом и локальный поиск неподтверждённых мест исследована</w:t>
      </w:r>
    </w:p>
    <w:p>
      <w:r>
        <w:t>недостаточно, особенно для русскоязычных текстов.</w:t>
      </w:r>
    </w:p>
    <w:p>
      <w:pPr>
        <w:pStyle w:val="Heading2"/>
      </w:pPr>
      <w:r>
        <w:t>5. Цель и задачи</w:t>
      </w:r>
    </w:p>
    <w:p>
      <w:r>
        <w:rPr>
          <w:b/>
        </w:rPr>
        <w:t>Цель:</w:t>
      </w:r>
      <w:r>
        <w:t xml:space="preserve"> разработать метод выявления неподтверждённых документом фрагментов</w:t>
      </w:r>
    </w:p>
    <w:p>
      <w:r>
        <w:t>ответа и оценить его качество на размеченных данных.</w:t>
      </w:r>
    </w:p>
    <w:p>
      <w:r>
        <w:rPr>
          <w:b/>
        </w:rPr>
        <w:t>Задачи исследования:</w:t>
      </w:r>
    </w:p>
    <w:p>
      <w:pPr>
        <w:pStyle w:val="ListNumber"/>
      </w:pPr>
      <w:r>
        <w:t>Обзор существующих подходов к проверке фактической опоры текста на источник</w:t>
      </w:r>
    </w:p>
    <w:p>
      <w:r>
        <w:t xml:space="preserve">   и уточнение постановки задачи для русскоязычных документов.</w:t>
      </w:r>
    </w:p>
    <w:p>
      <w:pPr>
        <w:pStyle w:val="ListNumber"/>
      </w:pPr>
      <w:r>
        <w:t>Разработка признаков недостоверности на основе внимания языковой модели и</w:t>
      </w:r>
    </w:p>
    <w:p>
      <w:r>
        <w:t xml:space="preserve">   векторных представлений.</w:t>
      </w:r>
    </w:p>
    <w:p>
      <w:pPr>
        <w:pStyle w:val="ListNumber"/>
      </w:pPr>
      <w:r>
        <w:t>Разработка схемы агрегации признаков: оценка риска по токенам, выделение</w:t>
      </w:r>
    </w:p>
    <w:p>
      <w:r>
        <w:t xml:space="preserve">   связных фрагментов, оценка достоверности ответа в целом.</w:t>
      </w:r>
    </w:p>
    <w:p>
      <w:pPr>
        <w:pStyle w:val="ListNumber"/>
      </w:pPr>
      <w:r>
        <w:t>Обучение и калибровка параметров метода по целевому уровню ложных</w:t>
      </w:r>
    </w:p>
    <w:p>
      <w:r>
        <w:t xml:space="preserve">   срабатываний.</w:t>
      </w:r>
    </w:p>
    <w:p>
      <w:pPr>
        <w:pStyle w:val="ListNumber"/>
      </w:pPr>
      <w:r>
        <w:t>Экспериментальная оценка метода: метрики по токенам и фрагментам, сравнение</w:t>
      </w:r>
    </w:p>
    <w:p>
      <w:r>
        <w:t xml:space="preserve">   признаков между собой и по слоям модели.</w:t>
      </w:r>
    </w:p>
    <w:p>
      <w:pPr>
        <w:pStyle w:val="ListNumber"/>
      </w:pPr>
      <w:r>
        <w:t>Разработка программной реализации (локальное приложение и HTTP-интерфейс) и</w:t>
      </w:r>
    </w:p>
    <w:p>
      <w:r>
        <w:t xml:space="preserve">   её апробация на контрольных примерах.</w:t>
      </w:r>
    </w:p>
    <w:p>
      <w:pPr>
        <w:pStyle w:val="Heading2"/>
      </w:pPr>
      <w:r>
        <w:t>6. Научная новизна и значимость</w:t>
      </w:r>
    </w:p>
    <w:p>
      <w:pPr>
        <w:pStyle w:val="ListBullet"/>
      </w:pPr>
      <w:r>
        <w:t xml:space="preserve">Постановка задачи как локального сопоставления: метод указывает </w:t>
      </w:r>
      <w:r>
        <w:rPr>
          <w:b/>
        </w:rPr>
        <w:t>где</w:t>
      </w:r>
      <w:r>
        <w:t xml:space="preserve"> ответ</w:t>
      </w:r>
    </w:p>
    <w:p>
      <w:r>
        <w:t xml:space="preserve">  расходится с документом, а не только «достоверен / недостоверен».</w:t>
      </w:r>
    </w:p>
    <w:p>
      <w:pPr>
        <w:pStyle w:val="ListBullet"/>
      </w:pPr>
      <w:r>
        <w:t>Признак доли внимания на документ используется со знаком «чем больше опора,</w:t>
      </w:r>
    </w:p>
    <w:p>
      <w:r>
        <w:t xml:space="preserve">  тем ниже риск» и сравнивается с классической энтропией внимания по слоям</w:t>
      </w:r>
    </w:p>
    <w:p>
      <w:r>
        <w:t xml:space="preserve">  модели — гипотеза проверяется экспериментально, а не постулируется.</w:t>
      </w:r>
    </w:p>
    <w:p>
      <w:pPr>
        <w:pStyle w:val="ListBullet"/>
      </w:pPr>
      <w:r>
        <w:t>Метод калибруется по целевому уровню ложных срабатываний, что делает его</w:t>
      </w:r>
    </w:p>
    <w:p>
      <w:r>
        <w:t xml:space="preserve">  применимым там, где цена ложного обвинения высока.</w:t>
      </w:r>
    </w:p>
    <w:p>
      <w:pPr>
        <w:pStyle w:val="ListBullet"/>
      </w:pPr>
      <w:r>
        <w:t>Все параметры метода воспроизводимы: фиксированный seed, открытые скрипты</w:t>
      </w:r>
    </w:p>
    <w:p>
      <w:r>
        <w:t xml:space="preserve">  обучения и оценки, сохранение параметров в текстовом файле.</w:t>
      </w:r>
    </w:p>
    <w:p>
      <w:pPr>
        <w:pStyle w:val="Heading2"/>
      </w:pPr>
      <w:r>
        <w:t>7. Практическая значимость</w:t>
      </w:r>
    </w:p>
    <w:p>
      <w:r>
        <w:t>Инструмент применим для выборочной проверки ответов справочных систем,</w:t>
      </w:r>
    </w:p>
    <w:p>
      <w:r>
        <w:t>сгенерированных обзоров документации, ответов сотрудников по регламентам.</w:t>
      </w:r>
    </w:p>
    <w:p>
      <w:r>
        <w:t>Работает локально: документы не передаются во внешние сервисы, что важно для</w:t>
      </w:r>
    </w:p>
    <w:p>
      <w:r>
        <w:t>внутренних регламентов и персональных данных. Результат выдаётся как указание</w:t>
      </w:r>
    </w:p>
    <w:p>
      <w:r>
        <w:t>на фрагменты для перечитки, а не как автоматический приговор.</w:t>
      </w:r>
    </w:p>
    <w:p>
      <w:pPr>
        <w:pStyle w:val="Heading2"/>
      </w:pPr>
      <w:r>
        <w:t>8. Методы и инструменты</w:t>
      </w:r>
    </w:p>
    <w:p>
      <w:pPr>
        <w:pStyle w:val="ListBullet"/>
      </w:pPr>
      <w:r>
        <w:t xml:space="preserve">Языковая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(CPU-вычисления);</w:t>
      </w:r>
    </w:p>
    <w:p>
      <w:pPr>
        <w:pStyle w:val="ListBullet"/>
      </w:pPr>
      <w:r>
        <w:t>признаки внимания и скрытых состояний; косинусная близость представлений;</w:t>
      </w:r>
    </w:p>
    <w:p>
      <w:pPr>
        <w:pStyle w:val="ListBullet"/>
      </w:pPr>
      <w:r>
        <w:t>логистическая регрессия с кросс-валидацией; изотоническая калибровка (PAVA);</w:t>
      </w:r>
    </w:p>
    <w:p>
      <w:pPr>
        <w:pStyle w:val="ListBullet"/>
      </w:pPr>
      <w:r>
        <w:t>метрики: precision, recall, F1 по токенам и фрагментам, FPR, AUC,</w:t>
      </w:r>
    </w:p>
    <w:p>
      <w:r>
        <w:t xml:space="preserve">  доверительные интервалы бутстрэпом;</w:t>
      </w:r>
    </w:p>
    <w:p>
      <w:pPr>
        <w:pStyle w:val="ListBullet"/>
      </w:pPr>
      <w:r>
        <w:t>Python 3.10+, GitHub Actions для воспроизводимых сборок и проверок.</w:t>
      </w:r>
    </w:p>
    <w:p>
      <w:pPr>
        <w:pStyle w:val="Heading2"/>
      </w:pPr>
      <w:r>
        <w:t>9. Ожидаемые результаты</w:t>
      </w:r>
    </w:p>
    <w:p>
      <w:pPr>
        <w:pStyle w:val="ListNumber"/>
      </w:pPr>
      <w:r>
        <w:t>Метод и его программная реализация с открытыми параметрами обучения.</w:t>
      </w:r>
    </w:p>
    <w:p>
      <w:pPr>
        <w:pStyle w:val="ListNumber"/>
      </w:pPr>
      <w:r>
        <w:t>Количественная оценка качества на контрольном наборе: token F1 и FPR при</w:t>
      </w:r>
    </w:p>
    <w:p>
      <w:r>
        <w:t xml:space="preserve">   фиксированном целевом уровне ложных срабатываний.</w:t>
      </w:r>
    </w:p>
    <w:p>
      <w:pPr>
        <w:pStyle w:val="ListNumber"/>
      </w:pPr>
      <w:r>
        <w:t>Сравнительный анализ признаков, включая разбиение по слоям модели.</w:t>
      </w:r>
    </w:p>
    <w:p>
      <w:pPr>
        <w:pStyle w:val="ListNumber"/>
      </w:pPr>
      <w:r>
        <w:t>Комплект документации: описание метода, руководство пользователя, отчёт о</w:t>
      </w:r>
    </w:p>
    <w:p>
      <w:r>
        <w:t xml:space="preserve">   НИР, календарный план.</w:t>
      </w:r>
    </w:p>
    <w:p>
      <w:pPr>
        <w:pStyle w:val="ListNumber"/>
      </w:pPr>
      <w:r>
        <w:t>Публикация промежуточных результатов (при наличии у исполнителя</w:t>
      </w:r>
    </w:p>
    <w:p>
      <w:r>
        <w:t xml:space="preserve">   публикационной активности — указывает исполнитель).</w:t>
      </w:r>
    </w:p>
    <w:p>
      <w:pPr>
        <w:pStyle w:val="Heading2"/>
      </w:pPr>
      <w:r>
        <w:t>10. Ограничения и риски (честно)</w:t>
      </w:r>
    </w:p>
    <w:p>
      <w:pPr>
        <w:pStyle w:val="ListBullet"/>
      </w:pPr>
      <w:r>
        <w:t>Качество метода зависит от модели и предметной области; требуется</w:t>
      </w:r>
    </w:p>
    <w:p>
      <w:r>
        <w:t xml:space="preserve">  калибровка на размеченных парах пользователя.</w:t>
      </w:r>
    </w:p>
    <w:p>
      <w:pPr>
        <w:pStyle w:val="ListBullet"/>
      </w:pPr>
      <w:r>
        <w:t>Синтетический демонстрационный корпус не заменяет реальную разметку: числа</w:t>
      </w:r>
    </w:p>
    <w:p>
      <w:r>
        <w:t xml:space="preserve">  на нём характеризуют работоспособность метода, а не качество на реальных</w:t>
      </w:r>
    </w:p>
    <w:p>
      <w:r>
        <w:t xml:space="preserve">  документах.</w:t>
      </w:r>
    </w:p>
    <w:p>
      <w:pPr>
        <w:pStyle w:val="ListBullet"/>
      </w:pPr>
      <w:r>
        <w:t>Сроки и объём зависят от доступа к вычислительным ресурсам для режима</w:t>
      </w:r>
    </w:p>
    <w:p>
      <w:r>
        <w:t xml:space="preserve">  реальной модели.</w:t>
      </w:r>
    </w:p>
    <w:p>
      <w:pPr>
        <w:pStyle w:val="Heading2"/>
      </w:pPr>
      <w:r>
        <w:t>11. Что заполняет исполнитель (данные извне)</w:t>
      </w:r>
    </w:p>
    <w:p>
      <w:pPr>
        <w:pStyle w:val="ListBullet"/>
      </w:pPr>
      <w:r>
        <w:rPr>
          <w:b/>
        </w:rPr>
        <w:t>Публикации</w:t>
      </w:r>
      <w:r>
        <w:t xml:space="preserve"> по теме (при наличии).</w:t>
      </w:r>
    </w:p>
    <w:p>
      <w:pPr>
        <w:pStyle w:val="ListBullet"/>
      </w:pPr>
      <w:r>
        <w:rPr>
          <w:b/>
        </w:rPr>
        <w:t>Дипломная работа / квалификационная работа</w:t>
      </w:r>
      <w:r>
        <w:t>: тема, научный руководитель,</w:t>
      </w:r>
    </w:p>
    <w:p>
      <w:r>
        <w:t xml:space="preserve">  организация.</w:t>
      </w:r>
    </w:p>
    <w:p>
      <w:pPr>
        <w:pStyle w:val="ListBullet"/>
      </w:pPr>
      <w:r>
        <w:rPr>
          <w:b/>
        </w:rPr>
        <w:t>Письмо поддержки</w:t>
      </w:r>
      <w:r>
        <w:t xml:space="preserve"> от организации (например, ООО «Вебпрактик»): реквизиты,</w:t>
      </w:r>
    </w:p>
    <w:p>
      <w:r>
        <w:t xml:space="preserve">  подпись, дата.</w:t>
      </w:r>
    </w:p>
    <w:p>
      <w:pPr>
        <w:pStyle w:val="ListBullet"/>
      </w:pPr>
      <w:r>
        <w:rPr>
          <w:b/>
        </w:rPr>
        <w:t>Сроки этапов</w:t>
      </w:r>
      <w:r>
        <w:t>: уточняются по регламенту конкурса.</w:t>
      </w:r>
    </w:p>
    <w:p>
      <w:pPr>
        <w:pStyle w:val="ListBullet"/>
      </w:pPr>
      <w:r>
        <w:rPr>
          <w:b/>
        </w:rPr>
        <w:t>Объём финансирования</w:t>
      </w:r>
      <w:r>
        <w:t xml:space="preserve"> (если требуется конкурсной документацией).</w:t>
      </w:r>
    </w:p>
    <w:p>
      <w:pPr>
        <w:pStyle w:val="Heading2"/>
      </w:pPr>
      <w:r>
        <w:t>12. Состав команды и роли</w:t>
      </w:r>
    </w:p>
    <w:p>
      <w:r>
        <w:t>Заполняется исполнителем: руководитель проекта, исследователь, разработчик,</w:t>
      </w:r>
    </w:p>
    <w:p>
      <w:r>
        <w:t>консультант по предметной области. В заявке достаточно указать функции</w:t>
      </w:r>
    </w:p>
    <w:p>
      <w:r>
        <w:t>(постановка задачи, реализация метода, проведение экспериментов, подготовка</w:t>
      </w:r>
    </w:p>
    <w:p>
      <w:r>
        <w:t>отчётности).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Короткие формулировки для полей с ограничением длины</w:t>
      </w:r>
    </w:p>
    <w:p>
      <w:r>
        <w:rPr>
          <w:b/>
        </w:rPr>
        <w:t>Ожидаемый результат (до 300 знаков).</w:t>
      </w:r>
      <w:r>
        <w:t xml:space="preserve"> Метод выявления неподтверждённых</w:t>
      </w:r>
    </w:p>
    <w:p>
      <w:r>
        <w:t>документом фрагментов ответа и его программная реализация; количественная</w:t>
      </w:r>
    </w:p>
    <w:p>
      <w:r>
        <w:t>оценка качества на размеченных парах (token F1, FPR при целевом уровне ложных</w:t>
      </w:r>
    </w:p>
    <w:p>
      <w:r>
        <w:t>срабатываний); руководство пользователя и отчёт о НИР.</w:t>
      </w:r>
    </w:p>
    <w:p>
      <w:r>
        <w:rPr>
          <w:b/>
        </w:rPr>
        <w:t>Научная новизна (до 300 знаков).</w:t>
      </w:r>
      <w:r>
        <w:t xml:space="preserve"> Локальное сопоставление ответа с</w:t>
      </w:r>
    </w:p>
    <w:p>
      <w:r>
        <w:t>документом: метод указывает конкретные неподтверждённые фрагменты, использует</w:t>
      </w:r>
    </w:p>
    <w:p>
      <w:r>
        <w:t>признак доли внимания на документ и калибруется по целевому уровню ложных</w:t>
      </w:r>
    </w:p>
    <w:p>
      <w:r>
        <w:t>срабатываний.</w:t>
      </w:r>
    </w:p>
    <w:p>
      <w:r>
        <w:rPr>
          <w:b/>
        </w:rPr>
        <w:t>Метод (до 300 знаков).</w:t>
      </w:r>
      <w:r>
        <w:t xml:space="preserve"> Признаки внимания языковой модели и векторной</w:t>
      </w:r>
    </w:p>
    <w:p>
      <w:r>
        <w:t>близости по токенам ответа → оценка риска → выделение связных фрагментов →</w:t>
      </w:r>
    </w:p>
    <w:p>
      <w:r>
        <w:t>калибровка по целевому FPR; оценка на контрольном наборе с бутстрэп-интервалами.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