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Отчёт о научно-исследовательской работе (шаблон с заполненными разделами)</w:t>
      </w:r>
    </w:p>
    <w:p>
      <w:r>
        <w:rPr>
          <w:b/>
        </w:rPr>
        <w:t>Тема:</w:t>
      </w:r>
      <w:r>
        <w:t xml:space="preserve"> разработка и исследование метода автоматического выявления</w:t>
      </w:r>
    </w:p>
    <w:p>
      <w:r>
        <w:t>недостоверных фрагментов текста на основе сопоставления ответа с</w:t>
      </w:r>
    </w:p>
    <w:p>
      <w:r>
        <w:t>документом-источником.</w:t>
      </w:r>
    </w:p>
    <w:p>
      <w:r>
        <w:rPr>
          <w:b/>
        </w:rPr>
        <w:t>Исполнитель:</w:t>
      </w:r>
      <w:r>
        <w:t xml:space="preserve"> заполняется. </w:t>
      </w:r>
      <w:r>
        <w:rPr>
          <w:b/>
        </w:rPr>
        <w:t>Срок выполнения:</w:t>
      </w:r>
      <w:r>
        <w:t xml:space="preserve"> заполняется.</w:t>
      </w:r>
    </w:p>
    <w:p>
      <w:r>
        <w:rPr>
          <w:b/>
        </w:rPr>
        <w:t>Объём работы:</w:t>
      </w:r>
      <w:r>
        <w:t xml:space="preserve"> этапы 1–7 календарного плана (</w:t>
      </w:r>
      <w:r>
        <w:rPr>
          <w:rFonts w:ascii="Consolas" w:hAnsi="Consolas"/>
          <w:color w:val="224488"/>
          <w:sz w:val="19"/>
        </w:rPr>
        <w:t>docs/ТЗ_и_календарный_план.md</w:t>
      </w:r>
      <w:r>
        <w:t>).</w:t>
      </w:r>
    </w:p>
    <w:p>
      <w:pPr>
        <w:pStyle w:val="IntenseQuote"/>
      </w:pPr>
      <w:r>
        <w:t>Разделы 1–3 — вводные, заполняются по образцу. Разделы 4–11 содержат</w:t>
      </w:r>
    </w:p>
    <w:p>
      <w:pPr>
        <w:pStyle w:val="IntenseQuote"/>
      </w:pPr>
      <w:r>
        <w:t>фактическое описание выполненной работы и должны быть выверены по</w:t>
      </w:r>
    </w:p>
    <w:p>
      <w:pPr>
        <w:pStyle w:val="IntenseQuote"/>
      </w:pPr>
      <w:r>
        <w:rPr>
          <w:rFonts w:ascii="Consolas" w:hAnsi="Consolas"/>
          <w:color w:val="224488"/>
          <w:sz w:val="19"/>
        </w:rPr>
        <w:t>PROGRESS.md</w:t>
      </w:r>
      <w:r>
        <w:t xml:space="preserve"> и </w:t>
      </w:r>
      <w:r>
        <w:rPr>
          <w:rFonts w:ascii="Consolas" w:hAnsi="Consolas"/>
          <w:color w:val="224488"/>
          <w:sz w:val="19"/>
        </w:rPr>
        <w:t>ИТОГ.md</w:t>
      </w:r>
      <w:r>
        <w:t xml:space="preserve"> перед подписанием: числа берутся только из</w:t>
      </w:r>
    </w:p>
    <w:p>
      <w:pPr>
        <w:pStyle w:val="IntenseQuote"/>
      </w:pPr>
      <w:r>
        <w:t>артефактов запусков.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1. Введение</w:t>
      </w:r>
    </w:p>
    <w:p>
      <w:r>
        <w:t>Работа посвящена задаче проверки достоверности текста относительно</w:t>
      </w:r>
    </w:p>
    <w:p>
      <w:r>
        <w:t>документа-источника. Актуальность определяется практикой применения</w:t>
      </w:r>
    </w:p>
    <w:p>
      <w:r>
        <w:t>генеративных моделей: правдоподобные по форме ответы могут содержать</w:t>
      </w:r>
    </w:p>
    <w:p>
      <w:r>
        <w:t>неподтверждённые значения (сроки, числа, ссылки на нормы), а выборочная</w:t>
      </w:r>
    </w:p>
    <w:p>
      <w:r>
        <w:t>проверка вручную несистематична.</w:t>
      </w:r>
    </w:p>
    <w:p>
      <w:pPr>
        <w:pStyle w:val="Heading2"/>
      </w:pPr>
      <w:r>
        <w:t>2. Постановка задачи</w:t>
      </w:r>
    </w:p>
    <w:p>
      <w:r>
        <w:t>Дано: документ-контекст $C$ и ответ $A$. Требуется:</w:t>
      </w:r>
    </w:p>
    <w:p>
      <w:pPr>
        <w:pStyle w:val="ListNumber"/>
      </w:pPr>
      <w:r>
        <w:t>для каждого фрагмента ответа получить оценку риска недостоверности;</w:t>
      </w:r>
    </w:p>
    <w:p>
      <w:pPr>
        <w:pStyle w:val="ListNumber"/>
      </w:pPr>
      <w:r>
        <w:t>выделить связные фрагменты, не подтверждаемые документом;</w:t>
      </w:r>
    </w:p>
    <w:p>
      <w:pPr>
        <w:pStyle w:val="ListNumber"/>
      </w:pPr>
      <w:r>
        <w:t>получить оценку достоверности ответа в целом и порог решения,</w:t>
      </w:r>
    </w:p>
    <w:p>
      <w:r>
        <w:t xml:space="preserve">   обеспечивающий заданный уровень ложных срабатываний.</w:t>
      </w:r>
    </w:p>
    <w:p>
      <w:r>
        <w:t>Ограничение: метод не должен требовать внешних сервисов; обработка выполняется</w:t>
      </w:r>
    </w:p>
    <w:p>
      <w:r>
        <w:t>локально.</w:t>
      </w:r>
    </w:p>
    <w:p>
      <w:pPr>
        <w:pStyle w:val="Heading2"/>
      </w:pPr>
      <w:r>
        <w:t>3. Обзор подходов</w:t>
      </w:r>
    </w:p>
    <w:p>
      <w:r>
        <w:t>Рассматриваются три семейства методов: (а) оценка «написан ли текст моделью»</w:t>
      </w:r>
    </w:p>
    <w:p>
      <w:r>
        <w:t>без обращения к источнику; (б) проверка опоры текста на источник по внешним</w:t>
      </w:r>
    </w:p>
    <w:p>
      <w:r>
        <w:t>инструментам поиска фактов; (в) локальные методы на основе представлений и</w:t>
      </w:r>
    </w:p>
    <w:p>
      <w:r>
        <w:t>внимания языковой модели. Работа развивает третье направление: оно не требует</w:t>
      </w:r>
    </w:p>
    <w:p>
      <w:r>
        <w:t>внешних баз знаний и позволяет указать конкретные неподтверждённые фрагменты.</w:t>
      </w:r>
    </w:p>
    <w:p>
      <w:pPr>
        <w:pStyle w:val="Heading2"/>
      </w:pPr>
      <w:r>
        <w:t>4. Метод</w:t>
      </w:r>
    </w:p>
    <w:p>
      <w:pPr>
        <w:pStyle w:val="Heading3"/>
      </w:pPr>
      <w:r>
        <w:t>4.1. Признаки</w:t>
      </w:r>
    </w:p>
    <w:p>
      <w:r>
        <w:t>По каждому токену ответа вычисляются три признака в диапазоне [0, 1]:</w:t>
      </w:r>
    </w:p>
    <w:p>
      <w:pPr>
        <w:pStyle w:val="ListNumber"/>
      </w:pPr>
      <w:r>
        <w:rPr>
          <w:b/>
        </w:rPr>
        <w:t>Нормированная энтропия внимания</w:t>
      </w:r>
      <w:r>
        <w:t xml:space="preserve"> последнего (или заданного) слоя модели —</w:t>
      </w:r>
    </w:p>
    <w:p>
      <w:r>
        <w:t xml:space="preserve">   мера «неуверенности» распределения внимания токена.</w:t>
      </w:r>
    </w:p>
    <w:p>
      <w:pPr>
        <w:pStyle w:val="ListNumber"/>
      </w:pPr>
      <w:r>
        <w:rPr>
          <w:b/>
        </w:rPr>
        <w:t>Доля внимания на документ</w:t>
      </w:r>
      <w:r>
        <w:t xml:space="preserve"> — суммарная масса внимания токена на позиции</w:t>
      </w:r>
    </w:p>
    <w:p>
      <w:r>
        <w:t xml:space="preserve">   контекста. Входит в риск с обратным знаком: чем выше опора на источник, тем</w:t>
      </w:r>
    </w:p>
    <w:p>
      <w:r>
        <w:t xml:space="preserve">   ниже риск.</w:t>
      </w:r>
    </w:p>
    <w:p>
      <w:pPr>
        <w:pStyle w:val="ListNumber"/>
      </w:pPr>
      <w:r>
        <w:rPr>
          <w:b/>
        </w:rPr>
        <w:t>Плотность близости представлений</w:t>
      </w:r>
      <w:r>
        <w:t xml:space="preserve"> — среднее косинусное сходство</w:t>
      </w:r>
    </w:p>
    <w:p>
      <w:r>
        <w:t xml:space="preserve">   представления токена с ближайшими токенами контекста (базовый уровень без</w:t>
      </w:r>
    </w:p>
    <w:p>
      <w:r>
        <w:t xml:space="preserve">   использования внимания).</w:t>
      </w:r>
    </w:p>
    <w:p>
      <w:pPr>
        <w:pStyle w:val="Heading3"/>
      </w:pPr>
      <w:r>
        <w:t>4.2. Агрегация</w:t>
      </w:r>
    </w:p>
    <w:p>
      <w:r>
        <w:t>Риск токена: $r = w_1 hat{H} + w_2 (1 - hat{m}) + w_3 hat{d}$, где веса</w:t>
      </w:r>
    </w:p>
    <w:p>
      <w:r>
        <w:t>подбираются перебором по сетке с суммой 1 на валидационной части по AUC</w:t>
      </w:r>
    </w:p>
    <w:p>
      <w:r>
        <w:t>токенного уровня. Далее: сглаживание по окну 3; порог маски как устойчивая</w:t>
      </w:r>
    </w:p>
    <w:p>
      <w:r>
        <w:t>оценка центра и разброса распределения рисков, ограниченная снизу и сверху;</w:t>
      </w:r>
    </w:p>
    <w:p>
      <w:r>
        <w:t>склейка соседних помеченных токенов; расширение фрагмента до границ</w:t>
      </w:r>
    </w:p>
    <w:p>
      <w:r>
        <w:t xml:space="preserve">предложения; метка </w:t>
      </w:r>
      <w:r>
        <w:rPr>
          <w:rFonts w:ascii="Consolas" w:hAnsi="Consolas"/>
          <w:color w:val="224488"/>
          <w:sz w:val="19"/>
        </w:rPr>
        <w:t>likely_hallucination</w:t>
      </w:r>
      <w:r>
        <w:t xml:space="preserve"> для риска выше фиксированного уровня,</w:t>
      </w:r>
    </w:p>
    <w:p>
      <w:r>
        <w:t xml:space="preserve">иначе </w:t>
      </w:r>
      <w:r>
        <w:rPr>
          <w:rFonts w:ascii="Consolas" w:hAnsi="Consolas"/>
          <w:color w:val="224488"/>
          <w:sz w:val="19"/>
        </w:rPr>
        <w:t>doubtful</w:t>
      </w:r>
      <w:r>
        <w:t>.</w:t>
      </w:r>
    </w:p>
    <w:p>
      <w:pPr>
        <w:pStyle w:val="Heading3"/>
      </w:pPr>
      <w:r>
        <w:t>4.3. Оценка ответа и калибровка</w:t>
      </w:r>
    </w:p>
    <w:p>
      <w:r>
        <w:t>Оценка ответа: $s = 0.5 cdot overline{r} + 0.5 cdot overline{r}_{text{top 20%}}$</w:t>
      </w:r>
    </w:p>
    <w:p>
      <w:r>
        <w:t>(учитывает и общий уровень, и выраженные пики). Калибровка — изотоническая</w:t>
      </w:r>
    </w:p>
    <w:p>
      <w:r>
        <w:t>регрессия (алгоритм PAVA) на обучающей части; порог решения выбирается как</w:t>
      </w:r>
    </w:p>
    <w:p>
      <w:r>
        <w:t>максимум F1 при ограничении FPR, то есть порог **не подбирается по тестовой</w:t>
      </w:r>
    </w:p>
    <w:p>
      <w:r>
        <w:t>выборке**.</w:t>
      </w:r>
    </w:p>
    <w:p>
      <w:pPr>
        <w:pStyle w:val="Heading3"/>
      </w:pPr>
      <w:r>
        <w:t>4.4. Обучение</w:t>
      </w:r>
    </w:p>
    <w:p>
      <w:r>
        <w:t>Дополнительно обучается решающая голова (логистическая регрессия по признакам</w:t>
      </w:r>
    </w:p>
    <w:p>
      <w:r>
        <w:t>токена с 5-кратной кросс-валидацией). Голова применяется только в том случае,</w:t>
      </w:r>
    </w:p>
    <w:p>
      <w:r>
        <w:t>если на обучающей части она превосходит пороговое правило по F1 при том же</w:t>
      </w:r>
    </w:p>
    <w:p>
      <w:r>
        <w:t>ограничении на FPR; иначе используется правило, и это фиксируется в отчёте.</w:t>
      </w:r>
    </w:p>
    <w:p>
      <w:pPr>
        <w:pStyle w:val="Heading2"/>
      </w:pPr>
      <w:r>
        <w:t>5. Программная реализация</w:t>
      </w:r>
    </w:p>
    <w:p>
      <w:pPr>
        <w:pStyle w:val="ListBullet"/>
      </w:pPr>
      <w:r>
        <w:t>Ядро — стандартная библиотека Python 3.10+ (без обязательных зависимостей).</w:t>
      </w:r>
    </w:p>
    <w:p>
      <w:pPr>
        <w:pStyle w:val="ListBullet"/>
      </w:pPr>
      <w:r>
        <w:t xml:space="preserve">Режимы: </w:t>
      </w:r>
      <w:r>
        <w:rPr>
          <w:rFonts w:ascii="Consolas" w:hAnsi="Consolas"/>
          <w:color w:val="224488"/>
          <w:sz w:val="19"/>
        </w:rPr>
        <w:t>demo</w:t>
      </w:r>
      <w:r>
        <w:t xml:space="preserve"> (лексические суррогаты признаков, без весов модели) и </w:t>
      </w:r>
      <w:r>
        <w:rPr>
          <w:rFonts w:ascii="Consolas" w:hAnsi="Consolas"/>
          <w:color w:val="224488"/>
          <w:sz w:val="19"/>
        </w:rPr>
        <w:t>hf</w:t>
      </w:r>
    </w:p>
    <w:p>
      <w:r>
        <w:t xml:space="preserve">  (реальная модель через </w:t>
      </w:r>
      <w:r>
        <w:rPr>
          <w:rFonts w:ascii="Consolas" w:hAnsi="Consolas"/>
          <w:color w:val="224488"/>
          <w:sz w:val="19"/>
        </w:rPr>
        <w:t>torch</w:t>
      </w:r>
      <w:r>
        <w:t>/</w:t>
      </w:r>
      <w:r>
        <w:rPr>
          <w:rFonts w:ascii="Consolas" w:hAnsi="Consolas"/>
          <w:color w:val="224488"/>
          <w:sz w:val="19"/>
        </w:rPr>
        <w:t>transformers</w:t>
      </w:r>
      <w:r>
        <w:t>).</w:t>
      </w:r>
    </w:p>
    <w:p>
      <w:pPr>
        <w:pStyle w:val="ListBullet"/>
      </w:pPr>
      <w:r>
        <w:t>Интерфейсы: HTTP (</w:t>
      </w:r>
      <w:r>
        <w:rPr>
          <w:rFonts w:ascii="Consolas" w:hAnsi="Consolas"/>
          <w:color w:val="224488"/>
          <w:sz w:val="19"/>
        </w:rPr>
        <w:t>POST /v1/verify</w:t>
      </w:r>
      <w:r>
        <w:t xml:space="preserve">, </w:t>
      </w:r>
      <w:r>
        <w:rPr>
          <w:rFonts w:ascii="Consolas" w:hAnsi="Consolas"/>
          <w:color w:val="224488"/>
          <w:sz w:val="19"/>
        </w:rPr>
        <w:t>GET /health|/v1/config|/v1/model</w:t>
      </w:r>
      <w:r>
        <w:t xml:space="preserve">, </w:t>
      </w:r>
      <w:r>
        <w:rPr>
          <w:rFonts w:ascii="Consolas" w:hAnsi="Consolas"/>
          <w:color w:val="224488"/>
          <w:sz w:val="19"/>
        </w:rPr>
        <w:t>/</w:t>
      </w:r>
      <w:r>
        <w:t>),</w:t>
      </w:r>
    </w:p>
    <w:p>
      <w:r>
        <w:t xml:space="preserve">  командная строка (</w:t>
      </w:r>
      <w:r>
        <w:rPr>
          <w:rFonts w:ascii="Consolas" w:hAnsi="Consolas"/>
          <w:color w:val="224488"/>
          <w:sz w:val="19"/>
        </w:rPr>
        <w:t>verify</w:t>
      </w:r>
      <w:r>
        <w:t xml:space="preserve">, </w:t>
      </w:r>
      <w:r>
        <w:rPr>
          <w:rFonts w:ascii="Consolas" w:hAnsi="Consolas"/>
          <w:color w:val="224488"/>
          <w:sz w:val="19"/>
        </w:rPr>
        <w:t>train</w:t>
      </w:r>
      <w:r>
        <w:t xml:space="preserve">, </w:t>
      </w:r>
      <w:r>
        <w:rPr>
          <w:rFonts w:ascii="Consolas" w:hAnsi="Consolas"/>
          <w:color w:val="224488"/>
          <w:sz w:val="19"/>
        </w:rPr>
        <w:t>calibrate</w:t>
      </w:r>
      <w:r>
        <w:t xml:space="preserve">, </w:t>
      </w:r>
      <w:r>
        <w:rPr>
          <w:rFonts w:ascii="Consolas" w:hAnsi="Consolas"/>
          <w:color w:val="224488"/>
          <w:sz w:val="19"/>
        </w:rPr>
        <w:t>evaluate</w:t>
      </w:r>
      <w:r>
        <w:t xml:space="preserve">, </w:t>
      </w:r>
      <w:r>
        <w:rPr>
          <w:rFonts w:ascii="Consolas" w:hAnsi="Consolas"/>
          <w:color w:val="224488"/>
          <w:sz w:val="19"/>
        </w:rPr>
        <w:t>selftest</w:t>
      </w:r>
      <w:r>
        <w:t>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server</w:t>
      </w:r>
      <w:r>
        <w:t>), веб-страница для ручной проверки.</w:t>
      </w:r>
    </w:p>
    <w:p>
      <w:pPr>
        <w:pStyle w:val="ListBullet"/>
      </w:pPr>
      <w:r>
        <w:t>Приложение для Windows собирается в один файл и проверяется автоматическим</w:t>
      </w:r>
    </w:p>
    <w:p>
      <w:r>
        <w:t xml:space="preserve">  смоук-тестом перед публикацией.</w:t>
      </w:r>
    </w:p>
    <w:p>
      <w:pPr>
        <w:pStyle w:val="Heading2"/>
      </w:pPr>
      <w:r>
        <w:t>6. Данные и методика оценки</w:t>
      </w:r>
    </w:p>
    <w:p>
      <w:pPr>
        <w:pStyle w:val="ListBullet"/>
      </w:pPr>
      <w:r>
        <w:t>Демонстрационный контрольный набор: 240 пар «документ — ответ» трёх типов</w:t>
      </w:r>
    </w:p>
    <w:p>
      <w:r>
        <w:t xml:space="preserve">  (подтверждённый ответ, подмена значения, выдуманное утверждение) с разметкой</w:t>
      </w:r>
    </w:p>
    <w:p>
      <w:r>
        <w:t xml:space="preserve">  по символам ответа. Набор синтетический, что прямо ограничивает выводы.</w:t>
      </w:r>
    </w:p>
    <w:p>
      <w:pPr>
        <w:pStyle w:val="ListBullet"/>
      </w:pPr>
      <w:r>
        <w:t>Разделение на обучающую и отложенную части по парам; метрики считаются только</w:t>
      </w:r>
    </w:p>
    <w:p>
      <w:r>
        <w:t xml:space="preserve">  на отложенной части.</w:t>
      </w:r>
    </w:p>
    <w:p>
      <w:pPr>
        <w:pStyle w:val="ListBullet"/>
      </w:pPr>
      <w:r>
        <w:t>Метрики: precision, recall, F1 по токенам; FPR; AUC; F1 по фрагментам и</w:t>
      </w:r>
    </w:p>
    <w:p>
      <w:r>
        <w:t xml:space="preserve">  полнота накрытия; метрики уровня ответа.</w:t>
      </w:r>
    </w:p>
    <w:p>
      <w:pPr>
        <w:pStyle w:val="ListBullet"/>
      </w:pPr>
      <w:r>
        <w:t>Пилот на реальной модели: контрастные пары «с опорой» / «без опоры» с</w:t>
      </w:r>
    </w:p>
    <w:p>
      <w:r>
        <w:t xml:space="preserve">  различием ровно в одном числе; проверка контраста; AUC признаков с 95 %</w:t>
      </w:r>
    </w:p>
    <w:p>
      <w:r>
        <w:t xml:space="preserve">  доверительным интервалом (бутстрэп, 5000 итераций) по слоям модели.</w:t>
      </w:r>
    </w:p>
    <w:p>
      <w:pPr>
        <w:pStyle w:val="Heading2"/>
      </w:pPr>
      <w:r>
        <w:t>7. Результаты</w:t>
      </w:r>
    </w:p>
    <w:p>
      <w:pPr>
        <w:pStyle w:val="Heading3"/>
      </w:pPr>
      <w:r>
        <w:t>7.1. Качество на отложенной части (демонстрационный режим)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Метрика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Значение</w:t>
            </w:r>
          </w:p>
        </w:tc>
      </w:tr>
      <w:tr>
        <w:tc>
          <w:tcPr>
            <w:tcW w:type="dxa" w:w="4320"/>
          </w:tcPr>
          <w:p>
            <w:r/>
            <w:r>
              <w:t>token F1</w:t>
            </w:r>
          </w:p>
        </w:tc>
        <w:tc>
          <w:tcPr>
            <w:tcW w:type="dxa" w:w="4320"/>
          </w:tcPr>
          <w:p>
            <w:r/>
            <w:r>
              <w:t>0.959</w:t>
            </w:r>
          </w:p>
        </w:tc>
      </w:tr>
      <w:tr>
        <w:tc>
          <w:tcPr>
            <w:tcW w:type="dxa" w:w="4320"/>
          </w:tcPr>
          <w:p>
            <w:r/>
            <w:r>
              <w:t>token precision</w:t>
            </w:r>
          </w:p>
        </w:tc>
        <w:tc>
          <w:tcPr>
            <w:tcW w:type="dxa" w:w="4320"/>
          </w:tcPr>
          <w:p>
            <w:r/>
            <w:r>
              <w:t>0.988</w:t>
            </w:r>
          </w:p>
        </w:tc>
      </w:tr>
      <w:tr>
        <w:tc>
          <w:tcPr>
            <w:tcW w:type="dxa" w:w="4320"/>
          </w:tcPr>
          <w:p>
            <w:r/>
            <w:r>
              <w:t>token recall</w:t>
            </w:r>
          </w:p>
        </w:tc>
        <w:tc>
          <w:tcPr>
            <w:tcW w:type="dxa" w:w="4320"/>
          </w:tcPr>
          <w:p>
            <w:r/>
            <w:r>
              <w:t>0.932</w:t>
            </w:r>
          </w:p>
        </w:tc>
      </w:tr>
      <w:tr>
        <w:tc>
          <w:tcPr>
            <w:tcW w:type="dxa" w:w="4320"/>
          </w:tcPr>
          <w:p>
            <w:r/>
            <w:r>
              <w:t>FPR по токенам</w:t>
            </w:r>
          </w:p>
        </w:tc>
        <w:tc>
          <w:tcPr>
            <w:tcW w:type="dxa" w:w="4320"/>
          </w:tcPr>
          <w:p>
            <w:r/>
            <w:r>
              <w:t>0.002</w:t>
            </w:r>
          </w:p>
        </w:tc>
      </w:tr>
      <w:tr>
        <w:tc>
          <w:tcPr>
            <w:tcW w:type="dxa" w:w="4320"/>
          </w:tcPr>
          <w:p>
            <w:r/>
            <w:r>
              <w:t>AUC по токенам</w:t>
            </w:r>
          </w:p>
        </w:tc>
        <w:tc>
          <w:tcPr>
            <w:tcW w:type="dxa" w:w="4320"/>
          </w:tcPr>
          <w:p>
            <w:r/>
            <w:r>
              <w:t>0.996</w:t>
            </w:r>
          </w:p>
        </w:tc>
      </w:tr>
      <w:tr>
        <w:tc>
          <w:tcPr>
            <w:tcW w:type="dxa" w:w="4320"/>
          </w:tcPr>
          <w:p>
            <w:r/>
            <w:r>
              <w:t>полнота накрытия фрагментов</w:t>
            </w:r>
          </w:p>
        </w:tc>
        <w:tc>
          <w:tcPr>
            <w:tcW w:type="dxa" w:w="4320"/>
          </w:tcPr>
          <w:p>
            <w:r/>
            <w:r>
              <w:t>1.000</w:t>
            </w:r>
          </w:p>
        </w:tc>
      </w:tr>
    </w:tbl>
    <w:p/>
    <w:p>
      <w:r>
        <w:t>Критерий приёмки (token F1 ≥ 0.90 при FPR ≤ 0.10) выполнен. Числа получены</w:t>
      </w:r>
    </w:p>
    <w:p>
      <w:r>
        <w:t>сквозным путём — той же функцией, которую вызывает HTTP-интерфейс.</w:t>
      </w:r>
    </w:p>
    <w:p>
      <w:pPr>
        <w:pStyle w:val="Heading3"/>
      </w:pPr>
      <w:r>
        <w:t>7.2. Пилот на реальной модели</w:t>
      </w:r>
    </w:p>
    <w:p>
      <w:r>
        <w:t xml:space="preserve">Результаты приводятся по артефакту </w:t>
      </w:r>
      <w:r>
        <w:rPr>
          <w:rFonts w:ascii="Consolas" w:hAnsi="Consolas"/>
          <w:color w:val="224488"/>
          <w:sz w:val="19"/>
        </w:rPr>
        <w:t>reports/pilot/pilot.md</w:t>
      </w:r>
      <w:r>
        <w:t xml:space="preserve"> из автоматического</w:t>
      </w:r>
    </w:p>
    <w:p>
      <w:r>
        <w:t xml:space="preserve">запуска (джоба </w:t>
      </w:r>
      <w:r>
        <w:rPr>
          <w:rFonts w:ascii="Consolas" w:hAnsi="Consolas"/>
          <w:color w:val="224488"/>
          <w:sz w:val="19"/>
        </w:rPr>
        <w:t>pilot</w:t>
      </w:r>
      <w:r>
        <w:t>). В отчёте фиксируются: характеристики контраста групп,</w:t>
      </w:r>
    </w:p>
    <w:p>
      <w:r>
        <w:t>таблица AUC с доверительными интервалами по слоям, вывод о том, подтвердилась</w:t>
      </w:r>
    </w:p>
    <w:p>
      <w:r>
        <w:t>ли гипотеза о превосходстве признака доли внимания на документ над энтропией</w:t>
      </w:r>
    </w:p>
    <w:p>
      <w:r>
        <w:t>внимания.</w:t>
      </w:r>
    </w:p>
    <w:p>
      <w:pPr>
        <w:pStyle w:val="IntenseQuote"/>
      </w:pPr>
      <w:r>
        <w:t>При оформлении вставить числовые значения и дату запуска из артефакта.</w:t>
      </w:r>
    </w:p>
    <w:p>
      <w:pPr>
        <w:pStyle w:val="Heading3"/>
      </w:pPr>
      <w:r>
        <w:t>7.3. Апробация приложения</w:t>
      </w:r>
    </w:p>
    <w:p>
      <w:r>
        <w:t>Автоматический смоук-тест на сборочном раннере: запуск приложения, проверка</w:t>
      </w:r>
    </w:p>
    <w:p>
      <w:r>
        <w:t>работоспособности, запрос на подмену значения (фрагмент найден, метка</w:t>
      </w:r>
    </w:p>
    <w:p>
      <w:r>
        <w:t>«сомнительно»/«высокий риск»), запрос на подтверждённый ответ (вердикт</w:t>
      </w:r>
    </w:p>
    <w:p>
      <w:r>
        <w:t>«ответ подтверждается документом»), проверка справочных маршрутов и веб-страницы.</w:t>
      </w:r>
    </w:p>
    <w:p>
      <w:pPr>
        <w:pStyle w:val="Heading2"/>
      </w:pPr>
      <w:r>
        <w:t>8. Обсуждение</w:t>
      </w:r>
    </w:p>
    <w:p>
      <w:r>
        <w:t>Полученные результаты показывают, что признаки внимания языковой модели</w:t>
      </w:r>
    </w:p>
    <w:p>
      <w:r>
        <w:t>позволяют локализовать подмену значения в пределах предложения при низкой доле</w:t>
      </w:r>
    </w:p>
    <w:p>
      <w:r>
        <w:t>ложных срабатываний. Ограничения: контрольный набор синтетический; замена</w:t>
      </w:r>
    </w:p>
    <w:p>
      <w:r>
        <w:t>значения — наиболее простой для обнаружения случай; фрагменты выдаются с</w:t>
      </w:r>
    </w:p>
    <w:p>
      <w:r>
        <w:t>расширением до границ предложения, что удобно человеку, но снижает строгие</w:t>
      </w:r>
    </w:p>
    <w:p>
      <w:r>
        <w:t>метрики перекрытия с узкой разметкой (в отчёте приводятся обе характеристики).</w:t>
      </w:r>
    </w:p>
    <w:p>
      <w:pPr>
        <w:pStyle w:val="Heading2"/>
      </w:pPr>
      <w:r>
        <w:t>9. Ограничения и достоверность выводов</w:t>
      </w:r>
    </w:p>
    <w:p>
      <w:pPr>
        <w:pStyle w:val="ListNumber"/>
      </w:pPr>
      <w:r>
        <w:t>Демонстрационные числа описывают работоспособность и самосогласованность</w:t>
      </w:r>
    </w:p>
    <w:p>
      <w:r>
        <w:t xml:space="preserve">   метода, а не качество на реальных документах.</w:t>
      </w:r>
    </w:p>
    <w:p>
      <w:pPr>
        <w:pStyle w:val="ListNumber"/>
      </w:pPr>
      <w:r>
        <w:t>Результаты пилота получены на малом объёме с широкими доверительными</w:t>
      </w:r>
    </w:p>
    <w:p>
      <w:r>
        <w:t xml:space="preserve">   интервалами.</w:t>
      </w:r>
    </w:p>
    <w:p>
      <w:pPr>
        <w:pStyle w:val="ListNumber"/>
      </w:pPr>
      <w:r>
        <w:t>Модель одна и небольшая; при смене модели признаки могут вести себя иначе.</w:t>
      </w:r>
    </w:p>
    <w:p>
      <w:pPr>
        <w:pStyle w:val="ListNumber"/>
      </w:pPr>
      <w:r>
        <w:t>Для практического применения требуется калибровка на размеченных парах</w:t>
      </w:r>
    </w:p>
    <w:p>
      <w:r>
        <w:t xml:space="preserve">   пользователя.</w:t>
      </w:r>
    </w:p>
    <w:p>
      <w:pPr>
        <w:pStyle w:val="Heading2"/>
      </w:pPr>
      <w:r>
        <w:t>10. Заключение</w:t>
      </w:r>
    </w:p>
    <w:p>
      <w:r>
        <w:t>Разработан и исследован метод выявления неподтверждённых документом фрагментов</w:t>
      </w:r>
    </w:p>
    <w:p>
      <w:r>
        <w:t>ответа: определены признаки, схема агрегации, процедура обучения и калибровки;</w:t>
      </w:r>
    </w:p>
    <w:p>
      <w:r>
        <w:t>реализовано приложение с локальной обработкой данных; выполнена оценка на</w:t>
      </w:r>
    </w:p>
    <w:p>
      <w:r>
        <w:t>отложенной части контрольного набора и пилотное исследование на реальной</w:t>
      </w:r>
    </w:p>
    <w:p>
      <w:r>
        <w:t>русскоязычной модели. Задачи этапов 1–7 календарного плана выполнены.</w:t>
      </w:r>
    </w:p>
    <w:p>
      <w:pPr>
        <w:pStyle w:val="Heading2"/>
      </w:pPr>
      <w:r>
        <w:t>11. Приложения</w:t>
      </w:r>
    </w:p>
    <w:p>
      <w:pPr>
        <w:pStyle w:val="ListNumber"/>
      </w:pPr>
      <w:r>
        <w:t xml:space="preserve">Руководство пользователя — </w:t>
      </w:r>
      <w:r>
        <w:rPr>
          <w:rFonts w:ascii="Consolas" w:hAnsi="Consolas"/>
          <w:color w:val="224488"/>
          <w:sz w:val="19"/>
        </w:rPr>
        <w:t>docs/РУКОВОДСТВО.md</w:t>
      </w:r>
      <w:r>
        <w:t>.</w:t>
      </w:r>
    </w:p>
    <w:p>
      <w:pPr>
        <w:pStyle w:val="ListNumber"/>
      </w:pPr>
      <w:r>
        <w:t xml:space="preserve">Журнал решений и хода работы — </w:t>
      </w:r>
      <w:r>
        <w:rPr>
          <w:rFonts w:ascii="Consolas" w:hAnsi="Consolas"/>
          <w:color w:val="224488"/>
          <w:sz w:val="19"/>
        </w:rPr>
        <w:t>PROGRESS.md</w:t>
      </w:r>
      <w:r>
        <w:t>.</w:t>
      </w:r>
    </w:p>
    <w:p>
      <w:pPr>
        <w:pStyle w:val="ListNumber"/>
      </w:pPr>
      <w:r>
        <w:t xml:space="preserve">Итоговая сводка проверок — </w:t>
      </w:r>
      <w:r>
        <w:rPr>
          <w:rFonts w:ascii="Consolas" w:hAnsi="Consolas"/>
          <w:color w:val="224488"/>
          <w:sz w:val="19"/>
        </w:rPr>
        <w:t>ИТОГ.md</w:t>
      </w:r>
      <w:r>
        <w:t>.</w:t>
      </w:r>
    </w:p>
    <w:p>
      <w:pPr>
        <w:pStyle w:val="ListNumber"/>
      </w:pPr>
      <w:r>
        <w:t xml:space="preserve">Протоколы экспериментов — </w:t>
      </w:r>
      <w:r>
        <w:rPr>
          <w:rFonts w:ascii="Consolas" w:hAnsi="Consolas"/>
          <w:color w:val="224488"/>
          <w:sz w:val="19"/>
        </w:rPr>
        <w:t>reports/</w:t>
      </w:r>
      <w:r>
        <w:t xml:space="preserve"> (скрипт </w:t>
      </w:r>
      <w:r>
        <w:rPr>
          <w:rFonts w:ascii="Consolas" w:hAnsi="Consolas"/>
          <w:color w:val="224488"/>
          <w:sz w:val="19"/>
        </w:rPr>
        <w:t>scripts/run_experiments.py</w:t>
      </w:r>
    </w:p>
    <w:p>
      <w:r>
        <w:t xml:space="preserve">   воспроизводит их из исходных данных).</w:t>
      </w:r>
    </w:p>
    <w:p>
      <w:pPr>
        <w:pStyle w:val="ListNumber"/>
      </w:pPr>
      <w:r>
        <w:t>Артефакты автоматических запусков — вложения сборок в GitHub Actions</w:t>
      </w:r>
    </w:p>
    <w:p>
      <w:r>
        <w:t xml:space="preserve">   (тесты, пилот, смоук-тест приложения).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