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Приложение к отчёту о НИР: соответствие требованиям договора</w:t>
      </w:r>
    </w:p>
    <w:p>
      <w:r>
        <w:t>Документ входит в отчёт о НИР как приложение (Приложение № 10 к договору,</w:t>
      </w:r>
    </w:p>
    <w:p>
      <w:r>
        <w:t>п. 2.10: в приложения включаются материалы, дополняющие текст отчёта).</w:t>
      </w:r>
    </w:p>
    <w:p>
      <w:r>
        <w:t xml:space="preserve">Собран автоматически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:</w:t>
      </w:r>
    </w:p>
    <w:p>
      <w:r>
        <w:t>числа в него не вписываются руками.</w:t>
      </w:r>
    </w:p>
    <w:p>
      <w:pPr>
        <w:pStyle w:val="ListBullet"/>
      </w:pPr>
      <w:r>
        <w:t>Договор № 20478ГУ/2026 (проект 117812), ТЗ (Приложение № 3), календарный план (Приложение № 4)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637a56215f2a622e857a2fbbadd633f96b47e25b</w:t>
      </w:r>
    </w:p>
    <w:p>
      <w:pPr>
        <w:pStyle w:val="ListBullet"/>
      </w:pPr>
      <w:r>
        <w:t>Дата: 2026-10-14T13:56:57Z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pPr>
        <w:pStyle w:val="Heading2"/>
      </w:pPr>
      <w:r>
        <w:t>Таблица соответствия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seconds=4.984, peak_memory_mb=261.3,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57, 'fp': 0, 'fn': 42, 'tn': 81, 'precision': 1.0, 'recall': 0.5758, 'f1': 0.7308, 'fpr': 0.0, 'flagged_share': 0.3167},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[0.0012, 0.0007, 0.0006], 'median_seconds': 0.0007, 'median_ms_per_1000_chars': 1.3871}, '2000': {'runs_seconds': [0.0021, 0.0015, 0.0015], 'median_seconds': 0.0015, 'median_ms_per_1000_chars': 0.7526}, '10000': {'runs_seconds': [0.009, 0.0063, 0.0061], 'median_seconds': 0.0063, 'median_ms_per_1000_chars': 0.6271}, '50000': {'runs_seconds': [0.042, 0.0323, 0.0301], 'median_seconds': 0.0323, 'median_ms_per_1000_chars': 0.6459}}, limit_run={'chars': 2000000, 'seconds': 4.984, 'ms_per_1000_chars': 2.4921, 'peak_memory_mb': 261.3,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pyz_size_bytes=173653, pyz_size_mb=0.1656, pyz_size_mb_decimal=0.1737, pyz_sha256=49ed590ea767bbbfec0d2b5d23a5234484cdb791da8aace896ae451f9c93e29b,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pyz_size_mb=0.1656, pyz_size_mb_decimal=0.1737, pyz_size_bytes=173653,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site_packages=/home/user/Smarty_Chumakov/spanverify-module/.venv/lib/python3.11/site-packages,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 (файлы клона без .venv, кэшей, build/dist и сырых внешних данных data/external);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module_size_mb=41.292, module_size_without_data_mb=0.483, pyz_size_mb=0.1656,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pyz_sha256=49ed590ea767bbbfec0d2b5d23a5234484cdb791da8aace896ae451f9c93e29b,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disk_free_gb=19.11,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collected=606, coverage_file=spanverify-module/reports/coverage.json, coverage_percent=87.82,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pdf_present=False, pdf_path_kind=корень репозитория,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pdf_present=False,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Запас по договорным числам (норма → факт → запас)</w:t>
      </w:r>
    </w:p>
    <w:p>
      <w:r>
        <w:t>Запас — это факт по сравнению с нормой, а не отдельное обещание: положительный</w:t>
      </w:r>
    </w:p>
    <w:p>
      <w:r>
        <w:t>запас означает, что требование выполнено с запасом, отрицательный честно помечен.</w:t>
      </w:r>
    </w:p>
    <w:p>
      <w:r>
        <w:t>Числа берутся из артефактов прогонов; строка «не измерено» означает, что прогона</w:t>
      </w:r>
    </w:p>
    <w:p>
      <w:r>
        <w:t>в этом окружении не было.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1</w:t>
            </w:r>
          </w:p>
        </w:tc>
        <w:tc>
          <w:tcPr>
            <w:tcW w:type="dxa" w:w="1440"/>
          </w:tcPr>
          <w:p>
            <w:r/>
            <w:r>
              <w:t>Предельный вход 2 000 000 знаков: время обработки</w:t>
            </w:r>
          </w:p>
        </w:tc>
        <w:tc>
          <w:tcPr>
            <w:tcW w:type="dxa" w:w="1440"/>
          </w:tcPr>
          <w:p>
            <w:r/>
            <w:r>
              <w:t>≤ 30 с</w:t>
            </w:r>
          </w:p>
        </w:tc>
        <w:tc>
          <w:tcPr>
            <w:tcW w:type="dxa" w:w="1440"/>
          </w:tcPr>
          <w:p>
            <w:r/>
            <w:r>
              <w:t>4.984 с</w:t>
            </w:r>
          </w:p>
        </w:tc>
        <w:tc>
          <w:tcPr>
            <w:tcW w:type="dxa" w:w="1440"/>
          </w:tcPr>
          <w:p>
            <w:r/>
            <w:r>
              <w:t>+83.4 %</w:t>
            </w:r>
          </w:p>
        </w:tc>
        <w:tc>
          <w:tcPr>
            <w:tcW w:type="dxa" w:w="1440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Быстродействие на 1000 знаков (худший замер, предельный текст)</w:t>
            </w:r>
          </w:p>
        </w:tc>
        <w:tc>
          <w:tcPr>
            <w:tcW w:type="dxa" w:w="1440"/>
          </w:tcPr>
          <w:p>
            <w:r/>
            <w:r>
              <w:t>≤ 30 мс</w:t>
            </w:r>
          </w:p>
        </w:tc>
        <w:tc>
          <w:tcPr>
            <w:tcW w:type="dxa" w:w="1440"/>
          </w:tcPr>
          <w:p>
            <w:r/>
            <w:r>
              <w:t>2.4921 мс</w:t>
            </w:r>
          </w:p>
        </w:tc>
        <w:tc>
          <w:tcPr>
            <w:tcW w:type="dxa" w:w="1440"/>
          </w:tcPr>
          <w:p>
            <w:r/>
            <w:r>
              <w:t>+91.7 %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Предельный текст 2 000 000 знаков: полное время</w:t>
            </w:r>
          </w:p>
        </w:tc>
        <w:tc>
          <w:tcPr>
            <w:tcW w:type="dxa" w:w="1440"/>
          </w:tcPr>
          <w:p>
            <w:r/>
            <w:r>
              <w:t>≤ 60 с</w:t>
            </w:r>
          </w:p>
        </w:tc>
        <w:tc>
          <w:tcPr>
            <w:tcW w:type="dxa" w:w="1440"/>
          </w:tcPr>
          <w:p>
            <w:r/>
            <w:r>
              <w:t>4.984 с</w:t>
            </w:r>
          </w:p>
        </w:tc>
        <w:tc>
          <w:tcPr>
            <w:tcW w:type="dxa" w:w="1440"/>
          </w:tcPr>
          <w:p>
            <w:r/>
            <w:r>
              <w:t>+91.7 %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F1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≥ 0.5</w:t>
            </w:r>
          </w:p>
        </w:tc>
        <w:tc>
          <w:tcPr>
            <w:tcW w:type="dxa" w:w="1440"/>
          </w:tcPr>
          <w:p>
            <w:r/>
            <w:r>
              <w:t>0.733813</w:t>
            </w:r>
          </w:p>
        </w:tc>
        <w:tc>
          <w:tcPr>
            <w:tcW w:type="dxa" w:w="1440"/>
          </w:tcPr>
          <w:p>
            <w:r/>
            <w:r>
              <w:t>+46.8 %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FPR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≤ 0.4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+100.0 %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4</w:t>
            </w:r>
          </w:p>
        </w:tc>
        <w:tc>
          <w:tcPr>
            <w:tcW w:type="dxa" w:w="1440"/>
          </w:tcPr>
          <w:p>
            <w:r/>
            <w:r>
              <w:t>Ошибка доли участия ИИ (MAE), цель проекта</w:t>
            </w:r>
          </w:p>
        </w:tc>
        <w:tc>
          <w:tcPr>
            <w:tcW w:type="dxa" w:w="1440"/>
          </w:tcPr>
          <w:p>
            <w:r/>
            <w:r>
              <w:t>≤ 0.03</w:t>
            </w:r>
          </w:p>
        </w:tc>
        <w:tc>
          <w:tcPr>
            <w:tcW w:type="dxa" w:w="1440"/>
          </w:tcPr>
          <w:p>
            <w:r/>
            <w:r>
              <w:t>0.0352</w:t>
            </w:r>
          </w:p>
        </w:tc>
        <w:tc>
          <w:tcPr>
            <w:tcW w:type="dxa" w:w="1440"/>
          </w:tcPr>
          <w:p>
            <w:r/>
            <w:r>
              <w:t>-17.3 % — запас не взят</w:t>
            </w:r>
          </w:p>
        </w:tc>
        <w:tc>
          <w:tcPr>
            <w:tcW w:type="dxa" w:w="1440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.exe в релизе</w:t>
            </w:r>
          </w:p>
        </w:tc>
        <w:tc>
          <w:tcPr>
            <w:tcW w:type="dxa" w:w="1440"/>
          </w:tcPr>
          <w:p>
            <w:r/>
            <w:r>
              <w:t>≤ 9e+06 байт</w:t>
            </w:r>
          </w:p>
        </w:tc>
        <w:tc>
          <w:tcPr>
            <w:tcW w:type="dxa" w:w="1440"/>
          </w:tcPr>
          <w:p>
            <w:r/>
            <w:r>
              <w:t>8.96671e+06 байт</w:t>
            </w:r>
          </w:p>
        </w:tc>
        <w:tc>
          <w:tcPr>
            <w:tcW w:type="dxa" w:w="1440"/>
          </w:tcPr>
          <w:p>
            <w:r/>
            <w:r>
              <w:t>+0.4 %</w:t>
            </w:r>
          </w:p>
        </w:tc>
        <w:tc>
          <w:tcPr>
            <w:tcW w:type="dxa" w:w="1440"/>
          </w:tcPr>
          <w:p>
            <w:r/>
            <w:r>
              <w:t>reports/release_sizes.json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переносимого пакета .pyz</w:t>
            </w:r>
          </w:p>
        </w:tc>
        <w:tc>
          <w:tcPr>
            <w:tcW w:type="dxa" w:w="1440"/>
          </w:tcPr>
          <w:p>
            <w:r/>
            <w:r>
              <w:t>≤ 600000 байт</w:t>
            </w:r>
          </w:p>
        </w:tc>
        <w:tc>
          <w:tcPr>
            <w:tcW w:type="dxa" w:w="1440"/>
          </w:tcPr>
          <w:p>
            <w:r/>
            <w:r>
              <w:t>173653 байт</w:t>
            </w:r>
          </w:p>
        </w:tc>
        <w:tc>
          <w:tcPr>
            <w:tcW w:type="dxa" w:w="1440"/>
          </w:tcPr>
          <w:p>
            <w:r/>
            <w:r>
              <w:t>+71.1 %</w:t>
            </w:r>
          </w:p>
        </w:tc>
        <w:tc>
          <w:tcPr>
            <w:tcW w:type="dxa" w:w="1440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Хранение с весами режима hf</w:t>
            </w:r>
          </w:p>
        </w:tc>
        <w:tc>
          <w:tcPr>
            <w:tcW w:type="dxa" w:w="1440"/>
          </w:tcPr>
          <w:p>
            <w:r/>
            <w:r>
              <w:t>≤ 1500 МБ</w:t>
            </w:r>
          </w:p>
        </w:tc>
        <w:tc>
          <w:tcPr>
            <w:tcW w:type="dxa" w:w="1440"/>
          </w:tcPr>
          <w:p>
            <w:r/>
            <w:r>
              <w:t>1368.2 МБ</w:t>
            </w:r>
          </w:p>
        </w:tc>
        <w:tc>
          <w:tcPr>
            <w:tcW w:type="dxa" w:w="1440"/>
          </w:tcPr>
          <w:p>
            <w:r/>
            <w:r>
              <w:t>+8.8 %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Поставка без весов</w:t>
            </w:r>
          </w:p>
        </w:tc>
        <w:tc>
          <w:tcPr>
            <w:tcW w:type="dxa" w:w="1440"/>
          </w:tcPr>
          <w:p>
            <w:r/>
            <w:r>
              <w:t>≤ 100 МБ</w:t>
            </w:r>
          </w:p>
        </w:tc>
        <w:tc>
          <w:tcPr>
            <w:tcW w:type="dxa" w:w="1440"/>
          </w:tcPr>
          <w:p>
            <w:r/>
            <w:r>
              <w:t>41.292 МБ</w:t>
            </w:r>
          </w:p>
        </w:tc>
        <w:tc>
          <w:tcPr>
            <w:tcW w:type="dxa" w:w="1440"/>
          </w:tcPr>
          <w:p>
            <w:r/>
            <w:r>
              <w:t>+58.7 %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</w:tbl>
    <w:p/>
    <w:p>
      <w:pPr>
        <w:pStyle w:val="Heading2"/>
      </w:pPr>
      <w:r>
        <w:t>Внутренние планки проекта (договор их не требует)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728"/>
          </w:tcPr>
          <w:p>
            <w:r/>
            <w:r>
              <w:t>Тесты: не меньше 600</w:t>
            </w:r>
          </w:p>
        </w:tc>
        <w:tc>
          <w:tcPr>
            <w:tcW w:type="dxa" w:w="1728"/>
          </w:tcPr>
          <w:p>
            <w:r/>
            <w:r>
              <w:t>≥ 600</w:t>
            </w:r>
          </w:p>
        </w:tc>
        <w:tc>
          <w:tcPr>
            <w:tcW w:type="dxa" w:w="1728"/>
          </w:tcPr>
          <w:p>
            <w:r/>
            <w:r>
              <w:t>606</w:t>
            </w:r>
          </w:p>
        </w:tc>
        <w:tc>
          <w:tcPr>
            <w:tcW w:type="dxa" w:w="1728"/>
          </w:tcPr>
          <w:p>
            <w:r/>
            <w:r>
              <w:t>+1.0 %</w:t>
            </w:r>
          </w:p>
        </w:tc>
        <w:tc>
          <w:tcPr>
            <w:tcW w:type="dxa" w:w="1728"/>
          </w:tcPr>
          <w:p>
            <w:r/>
            <w:r>
              <w:t>spanverify-module/reports/METRICS.json (tests.collected)</w:t>
            </w:r>
          </w:p>
        </w:tc>
      </w:tr>
      <w:tr>
        <w:tc>
          <w:tcPr>
            <w:tcW w:type="dxa" w:w="1728"/>
          </w:tcPr>
          <w:p>
            <w:r/>
            <w:r>
              <w:t>Покрытие тестами: не меньше 90 %</w:t>
            </w:r>
          </w:p>
        </w:tc>
        <w:tc>
          <w:tcPr>
            <w:tcW w:type="dxa" w:w="1728"/>
          </w:tcPr>
          <w:p>
            <w:r/>
            <w:r>
              <w:t>≥ 90 %</w:t>
            </w:r>
          </w:p>
        </w:tc>
        <w:tc>
          <w:tcPr>
            <w:tcW w:type="dxa" w:w="1728"/>
          </w:tcPr>
          <w:p>
            <w:r/>
            <w:r>
              <w:t>87.82 %</w:t>
            </w:r>
          </w:p>
        </w:tc>
        <w:tc>
          <w:tcPr>
            <w:tcW w:type="dxa" w:w="1728"/>
          </w:tcPr>
          <w:p>
            <w:r/>
            <w:r>
              <w:t>-2.4 % — запас не взят</w:t>
            </w:r>
          </w:p>
        </w:tc>
        <w:tc>
          <w:tcPr>
            <w:tcW w:type="dxa" w:w="1728"/>
          </w:tcPr>
          <w:p>
            <w:r/>
            <w:r>
              <w:t>spanverify-module/reports/METRICS.json (tests.coverage_percent)</w:t>
            </w:r>
          </w:p>
        </w:tc>
      </w:tr>
      <w:tr>
        <w:tc>
          <w:tcPr>
            <w:tcW w:type="dxa" w:w="1728"/>
          </w:tcPr>
          <w:p>
            <w:r/>
            <w:r>
              <w:t>Внутренний ориентир качества: F1 по токенам ≥ 0,90 при FPR ≤ 0,10 (корпус A)</w:t>
            </w:r>
          </w:p>
        </w:tc>
        <w:tc>
          <w:tcPr>
            <w:tcW w:type="dxa" w:w="1728"/>
          </w:tcPr>
          <w:p>
            <w:r/>
            <w:r>
              <w:t>≥ 0.9</w:t>
            </w:r>
          </w:p>
        </w:tc>
        <w:tc>
          <w:tcPr>
            <w:tcW w:type="dxa" w:w="1728"/>
          </w:tcPr>
          <w:p>
            <w:r/>
            <w:r>
              <w:t>0.733813</w:t>
            </w:r>
          </w:p>
        </w:tc>
        <w:tc>
          <w:tcPr>
            <w:tcW w:type="dxa" w:w="1728"/>
          </w:tcPr>
          <w:p>
            <w:r/>
            <w:r>
              <w:t>-18.5 % — запас не взят</w:t>
            </w:r>
          </w:p>
        </w:tc>
        <w:tc>
          <w:tcPr>
            <w:tcW w:type="dxa" w:w="1728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F1</w:t>
            </w:r>
          </w:p>
        </w:tc>
        <w:tc>
          <w:tcPr>
            <w:tcW w:type="dxa" w:w="1728"/>
          </w:tcPr>
          <w:p>
            <w:r/>
            <w:r>
              <w:t>≥ 0.8</w:t>
            </w:r>
          </w:p>
        </w:tc>
        <w:tc>
          <w:tcPr>
            <w:tcW w:type="dxa" w:w="1728"/>
          </w:tcPr>
          <w:p>
            <w:r/>
            <w:r>
              <w:t>0.8315</w:t>
            </w:r>
          </w:p>
        </w:tc>
        <w:tc>
          <w:tcPr>
            <w:tcW w:type="dxa" w:w="1728"/>
          </w:tcPr>
          <w:p>
            <w:r/>
            <w:r>
              <w:t>+3.9 %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FPR</w:t>
            </w:r>
          </w:p>
        </w:tc>
        <w:tc>
          <w:tcPr>
            <w:tcW w:type="dxa" w:w="1728"/>
          </w:tcPr>
          <w:p>
            <w:r/>
            <w:r>
              <w:t>≤ 0.1</w:t>
            </w:r>
          </w:p>
        </w:tc>
        <w:tc>
          <w:tcPr>
            <w:tcW w:type="dxa" w:w="1728"/>
          </w:tcPr>
          <w:p>
            <w:r/>
            <w:r>
              <w:t>0.0875</w:t>
            </w:r>
          </w:p>
        </w:tc>
        <w:tc>
          <w:tcPr>
            <w:tcW w:type="dxa" w:w="1728"/>
          </w:tcPr>
          <w:p>
            <w:r/>
            <w:r>
              <w:t>+12.5 %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Размер .exe с запасом не меньше 5 %</w:t>
            </w:r>
          </w:p>
        </w:tc>
        <w:tc>
          <w:tcPr>
            <w:tcW w:type="dxa" w:w="1728"/>
          </w:tcPr>
          <w:p>
            <w:r/>
            <w:r>
              <w:t>≤ 8.5e+06 байт</w:t>
            </w:r>
          </w:p>
        </w:tc>
        <w:tc>
          <w:tcPr>
            <w:tcW w:type="dxa" w:w="1728"/>
          </w:tcPr>
          <w:p>
            <w:r/>
            <w:r>
              <w:t>8.96671e+06 байт</w:t>
            </w:r>
          </w:p>
        </w:tc>
        <w:tc>
          <w:tcPr>
            <w:tcW w:type="dxa" w:w="1728"/>
          </w:tcPr>
          <w:p>
            <w:r/>
            <w:r>
              <w:t>-5.5 % — запас не взят</w:t>
            </w:r>
          </w:p>
        </w:tc>
        <w:tc>
          <w:tcPr>
            <w:tcW w:type="dxa" w:w="1728"/>
          </w:tcPr>
          <w:p>
            <w:r/>
            <w:r>
              <w:t>reports/release_sizes.json</w:t>
            </w:r>
          </w:p>
        </w:tc>
      </w:tr>
    </w:tbl>
    <w:p/>
    <w:p>
      <w:r>
        <w:t xml:space="preserve">Ориентиры ТЗ на объёмы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(библиотеки ≈ 500 МБ и веса ≈ 530 МБ) —</w:t>
      </w:r>
    </w:p>
    <w:p>
      <w:r>
        <w:t>оценки, а не жёсткие пределы: связывающий лимит договора — 1,5 ГБ хранения с</w:t>
      </w:r>
    </w:p>
    <w:p>
      <w:r>
        <w:t>весами (строка выше), он выполнен. Фактические 813,8 МБ библиотек и 554,3 МБ</w:t>
      </w:r>
    </w:p>
    <w:p>
      <w:r>
        <w:t>весов не занижаются и не выдаются за выполнение оценки ТЗ.</w:t>
      </w:r>
    </w:p>
    <w:p>
      <w:pPr>
        <w:pStyle w:val="Heading2"/>
      </w:pPr>
      <w:r>
        <w:t>Замечания по непройденным и неизмеренным пунктам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