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 Структура отчёта (Приложение № 10 к договору)</w:t>
      </w:r>
    </w:p>
    <w:p>
      <w:r>
        <w:t>Отчёт собирается строго в порядке, установленном правилами оформления</w:t>
      </w:r>
    </w:p>
    <w:p>
      <w:r>
        <w:t>(Приложение № 10), и в этом файле разделы названы теми же словами.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Раздел правил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в шаблоне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Состояние</w:t>
            </w:r>
          </w:p>
        </w:tc>
      </w:tr>
      <w:tr>
        <w:tc>
          <w:tcPr>
            <w:tcW w:type="dxa" w:w="2880"/>
          </w:tcPr>
          <w:p>
            <w:r/>
            <w:r>
              <w:t>Титульный лист</w:t>
            </w:r>
          </w:p>
        </w:tc>
        <w:tc>
          <w:tcPr>
            <w:tcW w:type="dxa" w:w="2880"/>
          </w:tcPr>
          <w:p>
            <w:r/>
            <w:r>
              <w:t>раздел 0.1 ниже</w:t>
            </w:r>
          </w:p>
        </w:tc>
        <w:tc>
          <w:tcPr>
            <w:tcW w:type="dxa" w:w="2880"/>
          </w:tcPr>
          <w:p>
            <w:r/>
            <w:r>
              <w:t>заполняется при сдаче (организация, тема, исполнитель, город и год)</w:t>
            </w:r>
          </w:p>
        </w:tc>
      </w:tr>
      <w:tr>
        <w:tc>
          <w:tcPr>
            <w:tcW w:type="dxa" w:w="2880"/>
          </w:tcPr>
          <w:p>
            <w:r/>
            <w:r>
              <w:t>Реферат</w:t>
            </w:r>
          </w:p>
        </w:tc>
        <w:tc>
          <w:tcPr>
            <w:tcW w:type="dxa" w:w="2880"/>
          </w:tcPr>
          <w:p>
            <w:r/>
            <w:r>
              <w:t>раздел 0.2 ниже</w:t>
            </w:r>
          </w:p>
        </w:tc>
        <w:tc>
          <w:tcPr>
            <w:tcW w:type="dxa" w:w="2880"/>
          </w:tcPr>
          <w:p>
            <w:r/>
            <w:r>
              <w:t>обязательные сведения и ключевые слова приведены</w:t>
            </w:r>
          </w:p>
        </w:tc>
      </w:tr>
      <w:tr>
        <w:tc>
          <w:tcPr>
            <w:tcW w:type="dxa" w:w="2880"/>
          </w:tcPr>
          <w:p>
            <w:r/>
            <w:r>
              <w:t>Содержание</w:t>
            </w:r>
          </w:p>
        </w:tc>
        <w:tc>
          <w:tcPr>
            <w:tcW w:type="dxa" w:w="2880"/>
          </w:tcPr>
          <w:p>
            <w:r/>
            <w:r>
              <w:t>генерируется из заголовков</w:t>
            </w:r>
          </w:p>
        </w:tc>
        <w:tc>
          <w:tcPr>
            <w:tcW w:type="dxa" w:w="2880"/>
          </w:tcPr>
          <w:p>
            <w:r/>
            <w:r>
              <w:t>заполняется при сдаче</w:t>
            </w:r>
          </w:p>
        </w:tc>
      </w:tr>
      <w:tr>
        <w:tc>
          <w:tcPr>
            <w:tcW w:type="dxa" w:w="2880"/>
          </w:tcPr>
          <w:p>
            <w:r/>
            <w:r>
              <w:t>Термины и определения</w:t>
            </w:r>
          </w:p>
        </w:tc>
        <w:tc>
          <w:tcPr>
            <w:tcW w:type="dxa" w:w="2880"/>
          </w:tcPr>
          <w:p>
            <w:r/>
            <w:r>
              <w:t>раздел 0.3 ниже</w:t>
            </w:r>
          </w:p>
        </w:tc>
        <w:tc>
          <w:tcPr>
            <w:tcW w:type="dxa" w:w="2880"/>
          </w:tcPr>
          <w:p>
            <w:r/>
            <w:r>
              <w:t>приведены термины, используемые в тексте</w:t>
            </w:r>
          </w:p>
        </w:tc>
      </w:tr>
      <w:tr>
        <w:tc>
          <w:tcPr>
            <w:tcW w:type="dxa" w:w="2880"/>
          </w:tcPr>
          <w:p>
            <w:r/>
            <w:r>
              <w:t>Перечень сокращений и обозначений</w:t>
            </w:r>
          </w:p>
        </w:tc>
        <w:tc>
          <w:tcPr>
            <w:tcW w:type="dxa" w:w="2880"/>
          </w:tcPr>
          <w:p>
            <w:r/>
            <w:r>
              <w:t>раздел 0.4 ниже</w:t>
            </w:r>
          </w:p>
        </w:tc>
        <w:tc>
          <w:tcPr>
            <w:tcW w:type="dxa" w:w="2880"/>
          </w:tcPr>
          <w:p>
            <w:r/>
            <w:r>
              <w:t>приведён перечень</w:t>
            </w:r>
          </w:p>
        </w:tc>
      </w:tr>
      <w:tr>
        <w:tc>
          <w:tcPr>
            <w:tcW w:type="dxa" w:w="2880"/>
          </w:tcPr>
          <w:p>
            <w:r/>
            <w:r>
              <w:t>Введение</w:t>
            </w:r>
          </w:p>
        </w:tc>
        <w:tc>
          <w:tcPr>
            <w:tcW w:type="dxa" w:w="2880"/>
          </w:tcPr>
          <w:p>
            <w:r/>
            <w:r>
              <w:t>раздел 1</w:t>
            </w:r>
          </w:p>
        </w:tc>
        <w:tc>
          <w:tcPr>
            <w:tcW w:type="dxa" w:w="2880"/>
          </w:tcPr>
          <w:p>
            <w:r/>
            <w:r>
              <w:t>содержит актуальность, цель, задачи</w:t>
            </w:r>
          </w:p>
        </w:tc>
      </w:tr>
      <w:tr>
        <w:tc>
          <w:tcPr>
            <w:tcW w:type="dxa" w:w="2880"/>
          </w:tcPr>
          <w:p>
            <w:r/>
            <w:r>
              <w:t>Основная часть</w:t>
            </w:r>
          </w:p>
        </w:tc>
        <w:tc>
          <w:tcPr>
            <w:tcW w:type="dxa" w:w="2880"/>
          </w:tcPr>
          <w:p>
            <w:r/>
            <w:r>
              <w:t>разделы 2–7</w:t>
            </w:r>
          </w:p>
        </w:tc>
        <w:tc>
          <w:tcPr>
            <w:tcW w:type="dxa" w:w="2880"/>
          </w:tcPr>
          <w:p>
            <w:r/>
            <w:r>
              <w:t>метод, средство, данные, результаты</w:t>
            </w:r>
          </w:p>
        </w:tc>
      </w:tr>
      <w:tr>
        <w:tc>
          <w:tcPr>
            <w:tcW w:type="dxa" w:w="2880"/>
          </w:tcPr>
          <w:p>
            <w:r/>
            <w:r>
              <w:t>Заключение</w:t>
            </w:r>
          </w:p>
        </w:tc>
        <w:tc>
          <w:tcPr>
            <w:tcW w:type="dxa" w:w="2880"/>
          </w:tcPr>
          <w:p>
            <w:r/>
            <w:r>
              <w:t>раздел 10</w:t>
            </w:r>
          </w:p>
        </w:tc>
        <w:tc>
          <w:tcPr>
            <w:tcW w:type="dxa" w:w="2880"/>
          </w:tcPr>
          <w:p>
            <w:r/>
            <w:r>
              <w:t>выводы и разделение демонстрационных и научных результатов</w:t>
            </w:r>
          </w:p>
        </w:tc>
      </w:tr>
      <w:tr>
        <w:tc>
          <w:tcPr>
            <w:tcW w:type="dxa" w:w="2880"/>
          </w:tcPr>
          <w:p>
            <w:r/>
            <w:r>
              <w:t>Список использованных источников</w:t>
            </w:r>
          </w:p>
        </w:tc>
        <w:tc>
          <w:tcPr>
            <w:tcW w:type="dxa" w:w="2880"/>
          </w:tcPr>
          <w:p>
            <w:r/>
            <w:r>
              <w:t>раздел 11</w:t>
            </w:r>
          </w:p>
        </w:tc>
        <w:tc>
          <w:tcPr>
            <w:tcW w:type="dxa" w:w="2880"/>
          </w:tcPr>
          <w:p>
            <w:r/>
            <w:r>
              <w:t>оформляется по ГОСТ Р 7.0.5</w:t>
            </w:r>
          </w:p>
        </w:tc>
      </w:tr>
      <w:tr>
        <w:tc>
          <w:tcPr>
            <w:tcW w:type="dxa" w:w="2880"/>
          </w:tcPr>
          <w:p>
            <w:r/>
            <w:r>
              <w:t>Приложения</w:t>
            </w:r>
          </w:p>
        </w:tc>
        <w:tc>
          <w:tcPr>
            <w:tcW w:type="dxa" w:w="2880"/>
          </w:tcPr>
          <w:p>
            <w:r/>
            <w:r>
              <w:t>раздел 12</w:t>
            </w:r>
          </w:p>
        </w:tc>
        <w:tc>
          <w:tcPr>
            <w:tcW w:type="dxa" w:w="2880"/>
          </w:tcPr>
          <w:p>
            <w:r/>
            <w:r>
              <w:t>руководство пользователя, программа и методика приёмки, протоколы проверок</w:t>
            </w:r>
          </w:p>
        </w:tc>
      </w:tr>
    </w:tbl>
    <w:p/>
    <w:p>
      <w:r>
        <w:t xml:space="preserve">Оригинальность текста отчёта должна быть </w:t>
      </w:r>
      <w:r>
        <w:rPr>
          <w:b/>
        </w:rPr>
        <w:t>не менее 80 %</w:t>
      </w:r>
      <w:r>
        <w:t xml:space="preserve"> по внешней системе</w:t>
      </w:r>
    </w:p>
    <w:p>
      <w:r>
        <w:t>проверки; фактический процент и название системы проверки указываются в</w:t>
      </w:r>
    </w:p>
    <w:p>
      <w:r>
        <w:t>реферате. Проверка выполняется во внешней системе — порядок действий описан в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, туда же вносится результат (запись</w:t>
      </w:r>
    </w:p>
    <w:p>
      <w:r>
        <w:rPr>
          <w:rFonts w:ascii="Consolas" w:hAnsi="Consolas"/>
          <w:color w:val="224488"/>
          <w:sz w:val="19"/>
        </w:rPr>
        <w:t>report.originality_percent</w:t>
      </w:r>
      <w:r>
        <w:t xml:space="preserve"> в </w:t>
      </w:r>
      <w:r>
        <w:rPr>
          <w:rFonts w:ascii="Consolas" w:hAnsi="Consolas"/>
          <w:color w:val="224488"/>
          <w:sz w:val="19"/>
        </w:rPr>
        <w:t>reports/NUMBERS.json</w:t>
      </w:r>
      <w:r>
        <w:t>). Пока процент не измерен,</w:t>
      </w:r>
    </w:p>
    <w:p>
      <w:r>
        <w:t>в реферате стоит «не измерено» — оценку сюда не подставляют. Локальная сверка чисел отчёта с артефактами прогонов выполняется</w:t>
      </w:r>
    </w:p>
    <w:p>
      <w:r>
        <w:t xml:space="preserve">скриптом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(числа в текст не вписываются руками).</w:t>
      </w:r>
    </w:p>
    <w:p>
      <w:pPr>
        <w:pStyle w:val="Heading3"/>
      </w:pPr>
      <w:r>
        <w:t>0.1. Титульный лист</w:t>
      </w:r>
    </w:p>
    <w:p>
      <w:r>
        <w:t>Заполняется организацией: наименование организации-исполнителя, гриф</w:t>
      </w:r>
    </w:p>
    <w:p>
      <w:r>
        <w:t>утверждения, тема работы, шифр и номер проекта (117812), руководитель и</w:t>
      </w:r>
    </w:p>
    <w:p>
      <w:r>
        <w:t>исполнитель, город и год.</w:t>
      </w:r>
    </w:p>
    <w:p>
      <w:pPr>
        <w:pStyle w:val="Heading3"/>
      </w:pPr>
      <w:r>
        <w:t>0.2. Реферат</w:t>
      </w:r>
    </w:p>
    <w:p>
      <w:r>
        <w:rPr>
          <w:b/>
        </w:rPr>
        <w:t>Объём отчёта:</w:t>
      </w:r>
      <w:r>
        <w:t xml:space="preserve"> ___ страниц, </w:t>
      </w:r>
      <w:r>
        <w:rPr>
          <w:b/>
        </w:rPr>
        <w:t>иллюстраций:</w:t>
      </w:r>
      <w:r>
        <w:t xml:space="preserve"> ___, </w:t>
      </w:r>
      <w:r>
        <w:rPr>
          <w:b/>
        </w:rPr>
        <w:t>таблиц:</w:t>
      </w:r>
      <w:r>
        <w:t xml:space="preserve"> ___,</w:t>
      </w:r>
    </w:p>
    <w:p>
      <w:r>
        <w:rPr>
          <w:b/>
        </w:rPr>
        <w:t>источников:</w:t>
      </w:r>
      <w:r>
        <w:t xml:space="preserve"> ___, </w:t>
      </w:r>
      <w:r>
        <w:rPr>
          <w:b/>
        </w:rPr>
        <w:t>приложений:</w:t>
      </w:r>
      <w:r>
        <w:t xml:space="preserve"> ___ (заполняется по факту вёрстки;</w:t>
      </w:r>
    </w:p>
    <w:p>
      <w:r>
        <w:t>методика подсчёта — Приложение № 10).</w:t>
      </w:r>
    </w:p>
    <w:p>
      <w:r>
        <w:rPr>
          <w:b/>
        </w:rPr>
        <w:t>Ключевые слова</w:t>
      </w:r>
    </w:p>
    <w:p>
      <w:r>
        <w:t>проверка достоверности, языковая модель, внимание, галлюцинации, фрагменты текста, F1, локальное приложение</w:t>
      </w:r>
    </w:p>
    <w:p>
      <w:r>
        <w:rPr>
          <w:b/>
        </w:rPr>
        <w:t>Оригинальность текста:</w:t>
      </w:r>
      <w:r>
        <w:t xml:space="preserve"> ___ % (система проверки: ______________; заполняет</w:t>
      </w:r>
    </w:p>
    <w:p>
      <w:r>
        <w:t xml:space="preserve">получатель гранта по процедуре </w:t>
      </w:r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, требование</w:t>
      </w:r>
    </w:p>
    <w:p>
      <w:r>
        <w:t>договора — не менее 80 %).</w:t>
      </w:r>
    </w:p>
    <w:p>
      <w:r>
        <w:t>Текст реферата: цель работы, метод, полученные результаты и их новизна,</w:t>
      </w:r>
    </w:p>
    <w:p>
      <w:r>
        <w:t>область применения, экономическая эффективность (при наличии). В реферате</w:t>
      </w:r>
    </w:p>
    <w:p>
      <w:r>
        <w:t>обязательно разделяются результаты на демонстрационном синтетическом корпусе и</w:t>
      </w:r>
    </w:p>
    <w:p>
      <w:r>
        <w:t>на реальных документах — это требование проекта к честности чисел.</w:t>
      </w:r>
    </w:p>
    <w:p>
      <w:pPr>
        <w:pStyle w:val="Heading3"/>
      </w:pPr>
      <w:r>
        <w:t>0.3. Термины и определения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Термин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Определение</w:t>
            </w:r>
          </w:p>
        </w:tc>
      </w:tr>
      <w:tr>
        <w:tc>
          <w:tcPr>
            <w:tcW w:type="dxa" w:w="4320"/>
          </w:tcPr>
          <w:p>
            <w:r/>
            <w:r>
              <w:t>Достоверность текста относительно документа</w:t>
            </w:r>
          </w:p>
        </w:tc>
        <w:tc>
          <w:tcPr>
            <w:tcW w:type="dxa" w:w="4320"/>
          </w:tcPr>
          <w:p>
            <w:r/>
            <w:r>
              <w:t>отсутствие в тексте утверждений, противоречащих документу-источнику или не подтверждённых им</w:t>
            </w:r>
          </w:p>
        </w:tc>
      </w:tr>
      <w:tr>
        <w:tc>
          <w:tcPr>
            <w:tcW w:type="dxa" w:w="4320"/>
          </w:tcPr>
          <w:p>
            <w:r/>
            <w:r>
              <w:t>Галлюцинация</w:t>
            </w:r>
          </w:p>
        </w:tc>
        <w:tc>
          <w:tcPr>
            <w:tcW w:type="dxa" w:w="4320"/>
          </w:tcPr>
          <w:p>
            <w:r/>
            <w:r>
              <w:t>утверждение, не подтверждённое документом-источником или противоречащее ему</w:t>
            </w:r>
          </w:p>
        </w:tc>
      </w:tr>
      <w:tr>
        <w:tc>
          <w:tcPr>
            <w:tcW w:type="dxa" w:w="4320"/>
          </w:tcPr>
          <w:p>
            <w:r/>
            <w:r>
              <w:t>Признак токена</w:t>
            </w:r>
          </w:p>
        </w:tc>
        <w:tc>
          <w:tcPr>
            <w:tcW w:type="dxa" w:w="4320"/>
          </w:tcPr>
          <w:p>
            <w:r/>
            <w:r>
              <w:t>числовая характеристика токена ответа, вычисляемая по состоянию модели и документу</w:t>
            </w:r>
          </w:p>
        </w:tc>
      </w:tr>
      <w:tr>
        <w:tc>
          <w:tcPr>
            <w:tcW w:type="dxa" w:w="4320"/>
          </w:tcPr>
          <w:p>
            <w:r/>
            <w:r>
              <w:t>Доля участия ИИ</w:t>
            </w:r>
          </w:p>
        </w:tc>
        <w:tc>
          <w:tcPr>
            <w:tcW w:type="dxa" w:w="4320"/>
          </w:tcPr>
          <w:p>
            <w:r/>
            <w:r>
              <w:t>оценка в диапазоне 0…1 того, какая часть текста порождена языковой моделью</w:t>
            </w:r>
          </w:p>
        </w:tc>
      </w:tr>
      <w:tr>
        <w:tc>
          <w:tcPr>
            <w:tcW w:type="dxa" w:w="4320"/>
          </w:tcPr>
          <w:p>
            <w:r/>
            <w:r>
              <w:t>Фрагмент (спан)</w:t>
            </w:r>
          </w:p>
        </w:tc>
        <w:tc>
          <w:tcPr>
            <w:tcW w:type="dxa" w:w="4320"/>
          </w:tcPr>
          <w:p>
            <w:r/>
            <w:r>
              <w:t>интервал символов ответа, помеченный как сомнительный, с меткой и уровнем уверенности</w:t>
            </w:r>
          </w:p>
        </w:tc>
      </w:tr>
      <w:tr>
        <w:tc>
          <w:tcPr>
            <w:tcW w:type="dxa" w:w="4320"/>
          </w:tcPr>
          <w:p>
            <w:r/>
            <w:r>
              <w:t>F1 по токенам</w:t>
            </w:r>
          </w:p>
        </w:tc>
        <w:tc>
          <w:tcPr>
            <w:tcW w:type="dxa" w:w="4320"/>
          </w:tcPr>
          <w:p>
            <w:r/>
            <w:r>
              <w:t>гармоническое среднее точности и полноты разметки токенов</w:t>
            </w:r>
          </w:p>
        </w:tc>
      </w:tr>
      <w:tr>
        <w:tc>
          <w:tcPr>
            <w:tcW w:type="dxa" w:w="4320"/>
          </w:tcPr>
          <w:p>
            <w:r/>
            <w:r>
              <w:t>FPR</w:t>
            </w:r>
          </w:p>
        </w:tc>
        <w:tc>
          <w:tcPr>
            <w:tcW w:type="dxa" w:w="4320"/>
          </w:tcPr>
          <w:p>
            <w:r/>
            <w:r>
              <w:t>доля ложных срабатываний на токенах, подтверждённых документом</w:t>
            </w:r>
          </w:p>
        </w:tc>
      </w:tr>
    </w:tbl>
    <w:p/>
    <w:p>
      <w:pPr>
        <w:pStyle w:val="Heading3"/>
      </w:pPr>
      <w:r>
        <w:t>0.4. Сокращения и обозначения (перечень сокращений и обозначений)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Сокращение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Расшифровка</w:t>
            </w:r>
          </w:p>
        </w:tc>
      </w:tr>
      <w:tr>
        <w:tc>
          <w:tcPr>
            <w:tcW w:type="dxa" w:w="4320"/>
          </w:tcPr>
          <w:p>
            <w:r/>
            <w:r>
              <w:t>НИР</w:t>
            </w:r>
          </w:p>
        </w:tc>
        <w:tc>
          <w:tcPr>
            <w:tcW w:type="dxa" w:w="4320"/>
          </w:tcPr>
          <w:p>
            <w:r/>
            <w:r>
              <w:t>научно-исследовательская работа</w:t>
            </w:r>
          </w:p>
        </w:tc>
      </w:tr>
      <w:tr>
        <w:tc>
          <w:tcPr>
            <w:tcW w:type="dxa" w:w="4320"/>
          </w:tcPr>
          <w:p>
            <w:r/>
            <w:r>
              <w:t>ТЗ</w:t>
            </w:r>
          </w:p>
        </w:tc>
        <w:tc>
          <w:tcPr>
            <w:tcW w:type="dxa" w:w="4320"/>
          </w:tcPr>
          <w:p>
            <w:r/>
            <w:r>
              <w:t>техническое задание</w:t>
            </w:r>
          </w:p>
        </w:tc>
      </w:tr>
      <w:tr>
        <w:tc>
          <w:tcPr>
            <w:tcW w:type="dxa" w:w="4320"/>
          </w:tcPr>
          <w:p>
            <w:r/>
            <w:r>
              <w:t>РИД</w:t>
            </w:r>
          </w:p>
        </w:tc>
        <w:tc>
          <w:tcPr>
            <w:tcW w:type="dxa" w:w="4320"/>
          </w:tcPr>
          <w:p>
            <w:r/>
            <w:r>
              <w:t>результат интеллектуальной деятельности</w:t>
            </w:r>
          </w:p>
        </w:tc>
      </w:tr>
      <w:tr>
        <w:tc>
          <w:tcPr>
            <w:tcW w:type="dxa" w:w="4320"/>
          </w:tcPr>
          <w:p>
            <w:r/>
            <w:r>
              <w:t>CLI</w:t>
            </w:r>
          </w:p>
        </w:tc>
        <w:tc>
          <w:tcPr>
            <w:tcW w:type="dxa" w:w="4320"/>
          </w:tcPr>
          <w:p>
            <w:r/>
            <w:r>
              <w:t>интерфейс командной строки</w:t>
            </w:r>
          </w:p>
        </w:tc>
      </w:tr>
      <w:tr>
        <w:tc>
          <w:tcPr>
            <w:tcW w:type="dxa" w:w="4320"/>
          </w:tcPr>
          <w:p>
            <w:r/>
            <w:r>
              <w:t>API</w:t>
            </w:r>
          </w:p>
        </w:tc>
        <w:tc>
          <w:tcPr>
            <w:tcW w:type="dxa" w:w="4320"/>
          </w:tcPr>
          <w:p>
            <w:r/>
            <w:r>
              <w:t>программный интерфейс приложения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метрика качества (гармоническое среднее точности и полноты)</w:t>
            </w:r>
          </w:p>
        </w:tc>
      </w:tr>
      <w:tr>
        <w:tc>
          <w:tcPr>
            <w:tcW w:type="dxa" w:w="4320"/>
          </w:tcPr>
          <w:p>
            <w:r/>
            <w:r>
              <w:t>FPR</w:t>
            </w:r>
          </w:p>
        </w:tc>
        <w:tc>
          <w:tcPr>
            <w:tcW w:type="dxa" w:w="4320"/>
          </w:tcPr>
          <w:p>
            <w:r/>
            <w:r>
              <w:t>доля ложных срабатываний</w:t>
            </w:r>
          </w:p>
        </w:tc>
      </w:tr>
      <w:tr>
        <w:tc>
          <w:tcPr>
            <w:tcW w:type="dxa" w:w="4320"/>
          </w:tcPr>
          <w:p>
            <w:r/>
            <w:r>
              <w:t>AUC</w:t>
            </w:r>
          </w:p>
        </w:tc>
        <w:tc>
          <w:tcPr>
            <w:tcW w:type="dxa" w:w="4320"/>
          </w:tcPr>
          <w:p>
            <w:r/>
            <w:r>
              <w:t>площадь под ROC-кривой</w:t>
            </w:r>
          </w:p>
        </w:tc>
      </w:tr>
      <w:tr>
        <w:tc>
          <w:tcPr>
            <w:tcW w:type="dxa" w:w="4320"/>
          </w:tcPr>
          <w:p>
            <w:r/>
            <w:r>
              <w:t>IoU</w:t>
            </w:r>
          </w:p>
        </w:tc>
        <w:tc>
          <w:tcPr>
            <w:tcW w:type="dxa" w:w="4320"/>
          </w:tcPr>
          <w:p>
            <w:r/>
            <w:r>
              <w:t>отношение пересечения к объединению (мера совпадения фрагментов)</w:t>
            </w:r>
          </w:p>
        </w:tc>
      </w:tr>
      <w:tr>
        <w:tc>
          <w:tcPr>
            <w:tcW w:type="dxa" w:w="4320"/>
          </w:tcPr>
          <w:p>
            <w:r/>
            <w:r>
              <w:t>UTF-8</w:t>
            </w:r>
          </w:p>
        </w:tc>
        <w:tc>
          <w:tcPr>
            <w:tcW w:type="dxa" w:w="4320"/>
          </w:tcPr>
          <w:p>
            <w:r/>
            <w:r>
              <w:t>кодировка текста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0.926</w:t>
            </w:r>
          </w:p>
        </w:tc>
        <w:tc>
          <w:tcPr>
            <w:tcW w:type="dxa" w:w="2880"/>
          </w:tcPr>
          <w:p>
            <w:r/>
            <w:r>
              <w:t>0.934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0.955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0.675 при FPR 0.148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</w:t>
      </w:r>
    </w:p>
    <w:p>
      <w:r>
        <w:t xml:space="preserve">**Условия (артефакт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;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>,</w:t>
      </w:r>
    </w:p>
    <w:p>
      <w:r>
        <w:t>job «Пилот», — артефакты в закрытом окружении не скачиваются):**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328 с.</w:t>
      </w:r>
    </w:p>
    <w:p>
      <w:r>
        <w:t>Прогон выполнен после исправления сопоставления подслов (</w:t>
      </w:r>
      <w:r>
        <w:rPr>
          <w:rFonts w:ascii="Consolas" w:hAnsi="Consolas"/>
          <w:color w:val="224488"/>
          <w:sz w:val="19"/>
        </w:rPr>
        <w:t>map_token_positions</w:t>
      </w:r>
      <w:r>
        <w:t>).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 [95 % ДИ]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 [95 % ДИ]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0.499</w:t>
            </w:r>
          </w:p>
        </w:tc>
        <w:tc>
          <w:tcPr>
            <w:tcW w:type="dxa" w:w="1728"/>
          </w:tcPr>
          <w:p>
            <w:r/>
            <w:r>
              <w:t>0.495 [0.326; 0.663]</w:t>
            </w:r>
          </w:p>
        </w:tc>
        <w:tc>
          <w:tcPr>
            <w:tcW w:type="dxa" w:w="1728"/>
          </w:tcPr>
          <w:p>
            <w:r/>
            <w:r>
              <w:t>−0.0007 [−0.0051; +0.0035]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0.549 [0.375; 0.713]</w:t>
            </w:r>
          </w:p>
        </w:tc>
        <w:tc>
          <w:tcPr>
            <w:tcW w:type="dxa" w:w="1728"/>
          </w:tcPr>
          <w:p>
            <w:r/>
            <w:r>
              <w:t>+0.0032 [−0.0010; +0.0073]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0.512 [0.346; 0.685]</w:t>
            </w:r>
          </w:p>
        </w:tc>
        <w:tc>
          <w:tcPr>
            <w:tcW w:type="dxa" w:w="1728"/>
          </w:tcPr>
          <w:p>
            <w:r/>
            <w:r>
              <w:t>+0.0015 [−0.0015; +0.0049]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0.489</w:t>
            </w:r>
          </w:p>
        </w:tc>
        <w:tc>
          <w:tcPr>
            <w:tcW w:type="dxa" w:w="1728"/>
          </w:tcPr>
          <w:p>
            <w:r/>
            <w:r>
              <w:t>0.405 [0.244; 0.581]</w:t>
            </w:r>
          </w:p>
        </w:tc>
        <w:tc>
          <w:tcPr>
            <w:tcW w:type="dxa" w:w="1728"/>
          </w:tcPr>
          <w:p>
            <w:r/>
            <w:r>
              <w:t>−0.0025 [−0.0059; +0.0012]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0.486</w:t>
            </w:r>
          </w:p>
        </w:tc>
        <w:tc>
          <w:tcPr>
            <w:tcW w:type="dxa" w:w="1728"/>
          </w:tcPr>
          <w:p>
            <w:r/>
            <w:r>
              <w:t>0.700 [0.537; 0.845]</w:t>
            </w:r>
          </w:p>
        </w:tc>
        <w:tc>
          <w:tcPr>
            <w:tcW w:type="dxa" w:w="1728"/>
          </w:tcPr>
          <w:p>
            <w:r/>
            <w:r>
              <w:t>+0.0199 [+0.0141; +0.0255]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0.455 [0.282; 0.621]</w:t>
            </w:r>
          </w:p>
        </w:tc>
        <w:tc>
          <w:tcPr>
            <w:tcW w:type="dxa" w:w="1728"/>
          </w:tcPr>
          <w:p>
            <w:r/>
            <w:r>
              <w:t>−0.0008 [−0.0027; +0.0012]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0.513</w:t>
            </w:r>
          </w:p>
        </w:tc>
        <w:tc>
          <w:tcPr>
            <w:tcW w:type="dxa" w:w="1728"/>
          </w:tcPr>
          <w:p>
            <w:r/>
            <w:r>
              <w:t>0.667 [0.503; 0.816]</w:t>
            </w:r>
          </w:p>
        </w:tc>
        <w:tc>
          <w:tcPr>
            <w:tcW w:type="dxa" w:w="1728"/>
          </w:tcPr>
          <w:p>
            <w:r/>
            <w:r>
              <w:t>+0.0171 [+0.0138; +0.0202]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0.502 [0.338; 0.663]</w:t>
            </w:r>
          </w:p>
        </w:tc>
        <w:tc>
          <w:tcPr>
            <w:tcW w:type="dxa" w:w="1728"/>
          </w:tcPr>
          <w:p>
            <w:r/>
            <w:r>
              <w:t>+0.0005 [−0.0057; +0.0062]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0.474</w:t>
            </w:r>
          </w:p>
        </w:tc>
        <w:tc>
          <w:tcPr>
            <w:tcW w:type="dxa" w:w="1728"/>
          </w:tcPr>
          <w:p>
            <w:r/>
            <w:r>
              <w:t>0.226 [0.107; 0.371]</w:t>
            </w:r>
          </w:p>
        </w:tc>
        <w:tc>
          <w:tcPr>
            <w:tcW w:type="dxa" w:w="1728"/>
          </w:tcPr>
          <w:p>
            <w:r/>
            <w:r>
              <w:t>−0.0069 [−0.0084; −0.0053]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0.493</w:t>
            </w:r>
          </w:p>
        </w:tc>
        <w:tc>
          <w:tcPr>
            <w:tcW w:type="dxa" w:w="1728"/>
          </w:tcPr>
          <w:p>
            <w:r/>
            <w:r>
              <w:t>0.464 [0.299; 0.635]</w:t>
            </w:r>
          </w:p>
        </w:tc>
        <w:tc>
          <w:tcPr>
            <w:tcW w:type="dxa" w:w="1728"/>
          </w:tcPr>
          <w:p>
            <w:r/>
            <w:r>
              <w:t>−0.0019 [−0.0050; +0.0012]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0.497</w:t>
            </w:r>
          </w:p>
        </w:tc>
        <w:tc>
          <w:tcPr>
            <w:tcW w:type="dxa" w:w="1728"/>
          </w:tcPr>
          <w:p>
            <w:r/>
            <w:r>
              <w:t>0.552 [0.381; 0.715]</w:t>
            </w:r>
          </w:p>
        </w:tc>
        <w:tc>
          <w:tcPr>
            <w:tcW w:type="dxa" w:w="1728"/>
          </w:tcPr>
          <w:p>
            <w:r/>
            <w:r>
              <w:t>+0.0057 [+0.0021; +0.0096]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0.477</w:t>
            </w:r>
          </w:p>
        </w:tc>
        <w:tc>
          <w:tcPr>
            <w:tcW w:type="dxa" w:w="1728"/>
          </w:tcPr>
          <w:p>
            <w:r/>
            <w:r>
              <w:t>0.224 [0.096; 0.377]</w:t>
            </w:r>
          </w:p>
        </w:tc>
        <w:tc>
          <w:tcPr>
            <w:tcW w:type="dxa" w:w="1728"/>
          </w:tcPr>
          <w:p>
            <w:r/>
            <w:r>
              <w:t>−0.0111 [−0.0133; −0.0088]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единой картины нет. На одних слоях признак</w:t>
      </w:r>
    </w:p>
    <w:p>
      <w:r>
        <w:t>«плотность эмбеддинга» уходит ниже случайного уровня (AUC 0.22–0.23 по аннотациям CI, то есть</w:t>
      </w:r>
    </w:p>
    <w:p>
      <w:r>
        <w:t>знак эффекта обратный), на других «масса внимания» поднимается до 0.70; типичные</w:t>
      </w:r>
    </w:p>
    <w:p>
      <w:r>
        <w:t>оценки колеблются около 0.50, доверительные интервалы большинства из них</w:t>
      </w:r>
    </w:p>
    <w:p>
      <w:r>
        <w:t>накрывают 0.5, а статистически заметные парные разницы очень малы</w:t>
      </w:r>
    </w:p>
    <w:p>
      <w:r>
        <w:t>(0.01–0.02 при размахе признака порядка 1.0). Гипотеза о превосходстве доли</w:t>
      </w:r>
    </w:p>
    <w:p>
      <w:r>
        <w:t xml:space="preserve">внимания на документ над «сырой» энтропией внимания </w:t>
      </w:r>
      <w:r>
        <w:rPr>
          <w:b/>
        </w:rPr>
        <w:t>не подтвердилась</w:t>
      </w:r>
      <w:r>
        <w:t>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 xml:space="preserve">7.3. Измерения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актах (корпус A3)</w:t>
      </w:r>
    </w:p>
    <w:p>
      <w:r>
        <w:t>Все числа этого раздела — из файла прогона</w:t>
      </w:r>
    </w:p>
    <w:p>
      <w:r>
        <w:rPr>
          <w:rFonts w:ascii="Consolas" w:hAnsi="Consolas"/>
          <w:color w:val="224488"/>
          <w:sz w:val="19"/>
        </w:rPr>
        <w:t>reports/experiments/a3/experiment.json</w:t>
      </w:r>
      <w:r>
        <w:t>, записанного раннером в прогоне</w:t>
      </w:r>
    </w:p>
    <w:p>
      <w:r>
        <w:rPr>
          <w:rFonts w:ascii="Consolas" w:hAnsi="Consolas"/>
          <w:color w:val="224488"/>
          <w:sz w:val="19"/>
        </w:rPr>
        <w:t>37609202780</w:t>
      </w:r>
      <w:r>
        <w:t xml:space="preserve"> (модель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42);</w:t>
      </w:r>
    </w:p>
    <w:p>
      <w:r>
        <w:t xml:space="preserve">повторный прогон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после первичного </w:t>
      </w:r>
      <w:r>
        <w:rPr>
          <w:rFonts w:ascii="Consolas" w:hAnsi="Consolas"/>
          <w:color w:val="224488"/>
          <w:sz w:val="19"/>
        </w:rPr>
        <w:t>37593829810</w:t>
      </w:r>
      <w:r>
        <w:t xml:space="preserve"> воспроизвёл цифры</w:t>
      </w:r>
    </w:p>
    <w:p>
      <w:r>
        <w:t xml:space="preserve">дословно. Сводка продублирована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hf_experiments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Измерение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Официальный тест корпуса A3, пар</w:t>
            </w:r>
          </w:p>
        </w:tc>
        <w:tc>
          <w:tcPr>
            <w:tcW w:type="dxa" w:w="4320"/>
          </w:tcPr>
          <w:p>
            <w:r/>
            <w:r>
              <w:t>177</w:t>
            </w:r>
          </w:p>
        </w:tc>
      </w:tr>
      <w:tr>
        <w:tc>
          <w:tcPr>
            <w:tcW w:type="dxa" w:w="4320"/>
          </w:tcPr>
          <w:p>
            <w:r/>
            <w:r>
              <w:t>Токенные precision / recall / F1</w:t>
            </w:r>
          </w:p>
        </w:tc>
        <w:tc>
          <w:tcPr>
            <w:tcW w:type="dxa" w:w="4320"/>
          </w:tcPr>
          <w:p>
            <w:r/>
            <w:r>
              <w:t>0.143 / 0.349 / 0.203</w:t>
            </w:r>
          </w:p>
        </w:tc>
      </w:tr>
      <w:tr>
        <w:tc>
          <w:tcPr>
            <w:tcW w:type="dxa" w:w="4320"/>
          </w:tcPr>
          <w:p>
            <w:r/>
            <w:r>
              <w:t>Токенный FPR</w:t>
            </w:r>
          </w:p>
        </w:tc>
        <w:tc>
          <w:tcPr>
            <w:tcW w:type="dxa" w:w="4320"/>
          </w:tcPr>
          <w:p>
            <w:r/>
            <w:r>
              <w:t>0.065</w:t>
            </w:r>
          </w:p>
        </w:tc>
      </w:tr>
      <w:tr>
        <w:tc>
          <w:tcPr>
            <w:tcW w:type="dxa" w:w="4320"/>
          </w:tcPr>
          <w:p>
            <w:r/>
            <w:r>
              <w:t>AUC</w:t>
            </w:r>
          </w:p>
        </w:tc>
        <w:tc>
          <w:tcPr>
            <w:tcW w:type="dxa" w:w="4320"/>
          </w:tcPr>
          <w:p>
            <w:r/>
            <w:r>
              <w:t>0.851</w:t>
            </w:r>
          </w:p>
        </w:tc>
      </w:tr>
      <w:tr>
        <w:tc>
          <w:tcPr>
            <w:tcW w:type="dxa" w:w="4320"/>
          </w:tcPr>
          <w:p>
            <w:r/>
            <w:r>
              <w:t>Строгий span-F1 / средняя ширина фрагмента</w:t>
            </w:r>
          </w:p>
        </w:tc>
        <w:tc>
          <w:tcPr>
            <w:tcW w:type="dxa" w:w="4320"/>
          </w:tcPr>
          <w:p>
            <w:r/>
            <w:r>
              <w:t>0.119 / 9.1× ширины эталона</w:t>
            </w:r>
          </w:p>
        </w:tc>
      </w:tr>
      <w:tr>
        <w:tc>
          <w:tcPr>
            <w:tcW w:type="dxa" w:w="4320"/>
          </w:tcPr>
          <w:p>
            <w:r/>
            <w:r>
              <w:t>Критерий «F1 ≥ 0.90 при FPR ≤ 0.10»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не достигнут</w:t>
            </w:r>
          </w:p>
        </w:tc>
      </w:tr>
      <w:tr>
        <w:tc>
          <w:tcPr>
            <w:tcW w:type="dxa" w:w="4320"/>
          </w:tcPr>
          <w:p>
            <w:r/>
            <w:r>
              <w:t>Вердикт «есть подмена» (новое правило): F1 / FPR</w:t>
            </w:r>
          </w:p>
        </w:tc>
        <w:tc>
          <w:tcPr>
            <w:tcW w:type="dxa" w:w="4320"/>
          </w:tcPr>
          <w:p>
            <w:r/>
            <w:r>
              <w:t>0.605 / 0.775</w:t>
            </w:r>
          </w:p>
        </w:tc>
      </w:tr>
      <w:tr>
        <w:tc>
          <w:tcPr>
            <w:tcW w:type="dxa" w:w="4320"/>
          </w:tcPr>
          <w:p>
            <w:r/>
            <w:r>
              <w:t>То же по старому правилу</w:t>
            </w:r>
          </w:p>
        </w:tc>
        <w:tc>
          <w:tcPr>
            <w:tcW w:type="dxa" w:w="4320"/>
          </w:tcPr>
          <w:p>
            <w:r/>
            <w:r>
              <w:t>0.650 / 0.863</w:t>
            </w:r>
          </w:p>
        </w:tc>
      </w:tr>
      <w:tr>
        <w:tc>
          <w:tcPr>
            <w:tcW w:type="dxa" w:w="4320"/>
          </w:tcPr>
          <w:p>
            <w:r/>
            <w:r>
              <w:t>Доля чистых пар теста, помеченных вердиктом</w:t>
            </w:r>
          </w:p>
        </w:tc>
        <w:tc>
          <w:tcPr>
            <w:tcW w:type="dxa" w:w="4320"/>
          </w:tcPr>
          <w:p>
            <w:r/>
            <w:r>
              <w:t>0.80</w:t>
            </w:r>
          </w:p>
        </w:tc>
      </w:tr>
      <w:tr>
        <w:tc>
          <w:tcPr>
            <w:tcW w:type="dxa" w:w="4320"/>
          </w:tcPr>
          <w:p>
            <w:r/>
            <w:r>
              <w:t>Тест корпуса A, 180 пар: token F1 / FPR</w:t>
            </w:r>
          </w:p>
        </w:tc>
        <w:tc>
          <w:tcPr>
            <w:tcW w:type="dxa" w:w="4320"/>
          </w:tcPr>
          <w:p>
            <w:r/>
            <w:r>
              <w:t>0.608 / 0.024</w:t>
            </w:r>
          </w:p>
        </w:tc>
      </w:tr>
      <w:tr>
        <w:tc>
          <w:tcPr>
            <w:tcW w:type="dxa" w:w="4320"/>
          </w:tcPr>
          <w:p>
            <w:r/>
            <w:r>
              <w:t xml:space="preserve">Внешний срез </w:t>
            </w:r>
            <w:r>
              <w:rPr>
                <w:rFonts w:ascii="Consolas" w:hAnsi="Consolas"/>
                <w:color w:val="224488"/>
                <w:sz w:val="19"/>
              </w:rPr>
              <w:t>ext_ragtruth_qa_hf</w:t>
            </w:r>
            <w:r>
              <w:t>, 40 пар: пометок / ложных пометок</w:t>
            </w:r>
          </w:p>
        </w:tc>
        <w:tc>
          <w:tcPr>
            <w:tcW w:type="dxa" w:w="4320"/>
          </w:tcPr>
          <w:p>
            <w:r/>
            <w:r>
              <w:t>0 / 0</w:t>
            </w:r>
          </w:p>
        </w:tc>
      </w:tr>
    </w:tbl>
    <w:p/>
    <w:p>
      <w:r>
        <w:t>Бандл выбран целиком по обучающей части корпуса (веса: сигнал</w:t>
      </w:r>
    </w:p>
    <w:p>
      <w:r>
        <w:rPr>
          <w:rFonts w:ascii="Consolas" w:hAnsi="Consolas"/>
          <w:color w:val="224488"/>
          <w:sz w:val="19"/>
        </w:rPr>
        <w:t>attention_entropy</w:t>
      </w:r>
      <w:r>
        <w:t xml:space="preserve"> с коэффициентом 1.0, остальные признаки обнулены; порог</w:t>
      </w:r>
    </w:p>
    <w:p>
      <w:r>
        <w:t>ответа 0.585 подобран на обучении под ограничение FPR ≤ 0.10); по тесту ничего</w:t>
      </w:r>
    </w:p>
    <w:p>
      <w:r>
        <w:t>не подбиралось. Маскировочная кривая на обучении (343 точки) не содержит более</w:t>
      </w:r>
    </w:p>
    <w:p>
      <w:r>
        <w:t>сильной точки при том же ограничении.</w:t>
      </w:r>
    </w:p>
    <w:p>
      <w:r>
        <w:t>Честный вывод: на реальных актах метод выделяет подмены на уровне заметно выше</w:t>
      </w:r>
    </w:p>
    <w:p>
      <w:r>
        <w:t>случайного (AUC 0.851), но рабочий уровень качества не достигнут, а вердикт по</w:t>
      </w:r>
    </w:p>
    <w:p>
      <w:r>
        <w:t>паре помечает большинство чистых ответов.</w:t>
      </w:r>
    </w:p>
    <w:p>
      <w:pPr>
        <w:pStyle w:val="Heading3"/>
      </w:pPr>
      <w:r>
        <w:t>7.4.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606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87.82 %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ListNumber"/>
      </w:pPr>
      <w:r>
        <w:t>На реальных актах (раздел 7.3) ориентир «F1 ≥ 0.90 при FPR ≤ 0.10» не</w:t>
      </w:r>
    </w:p>
    <w:p>
      <w:r>
        <w:t xml:space="preserve">   достигнут; по чистым парам теста вердикт помечает 0.80 ответов.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Источники</w:t>
      </w:r>
    </w:p>
    <w:p>
      <w:r>
        <w:t>Оформление — по ГОСТ Р 7.0.5-2008. Нумерация сквозная; в тексте ссылки вида</w:t>
      </w:r>
    </w:p>
    <w:p>
      <w:r>
        <w:rPr>
          <w:rFonts w:ascii="Consolas" w:hAnsi="Consolas"/>
          <w:color w:val="224488"/>
          <w:sz w:val="19"/>
        </w:rPr>
        <w:t>[1]</w:t>
      </w:r>
      <w:r>
        <w:t>. Ни один источник не приводится «по памяти»: если результат взят из</w:t>
      </w:r>
    </w:p>
    <w:p>
      <w:r>
        <w:t>работы, он либо измерен в прогоне этого репозитория, либо помечен как чужой с</w:t>
      </w:r>
    </w:p>
    <w:p>
      <w:r>
        <w:t>указанием источника.</w:t>
      </w:r>
    </w:p>
    <w:p>
      <w:pPr>
        <w:pStyle w:val="ListNumber"/>
      </w:pPr>
      <w:r>
        <w:t>Договор № 20478ГУ/2026 о предоставлении гранта (проект 117812), с приложениями</w:t>
      </w:r>
    </w:p>
    <w:p>
      <w:r>
        <w:t xml:space="preserve">   № 3 (техническое задание), № 4 (календарный план), № 10 (правила оформления</w:t>
      </w:r>
    </w:p>
    <w:p>
      <w:r>
        <w:t xml:space="preserve">   отчёта).</w:t>
      </w:r>
    </w:p>
    <w:p>
      <w:pPr>
        <w:pStyle w:val="ListNumber"/>
      </w:pPr>
      <w:r>
        <w:t>ГОСТ Р 7.0.5-2008. Библиографическая ссылка. Общие требования и правила</w:t>
      </w:r>
    </w:p>
    <w:p>
      <w:r>
        <w:t xml:space="preserve">   составления.</w:t>
      </w:r>
    </w:p>
    <w:p>
      <w:pPr>
        <w:pStyle w:val="ListNumber"/>
      </w:pPr>
      <w:r>
        <w:t>ГОСТ 19.404-79, ГОСТ 19.503-79, ГОСТ 19.504-79, ГОСТ 19.505-79 — единая</w:t>
      </w:r>
    </w:p>
    <w:p>
      <w:r>
        <w:t xml:space="preserve">   система программной документации (документы в </w:t>
      </w:r>
      <w:r>
        <w:rPr>
          <w:rFonts w:ascii="Consolas" w:hAnsi="Consolas"/>
          <w:color w:val="224488"/>
          <w:sz w:val="19"/>
        </w:rPr>
        <w:t>docs/ГОСТ/</w:t>
      </w:r>
      <w:r>
        <w:t>).</w:t>
      </w:r>
    </w:p>
    <w:p>
      <w:pPr>
        <w:pStyle w:val="ListNumber"/>
      </w:pPr>
      <w:r>
        <w:t>Отчёт о НИР. ГОСТ 7.32-2017 (структура отчёта, разделы).</w:t>
      </w:r>
    </w:p>
    <w:p>
      <w:pPr>
        <w:pStyle w:val="ListNumber"/>
      </w:pPr>
      <w:r>
        <w:t xml:space="preserve">Документы проекта: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docs/ПРОГРАММА_И_МЕТОДИКА_ПРИЁМКИ.md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docs/РУКОВОДСТВО.md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.</w:t>
      </w:r>
    </w:p>
    <w:p>
      <w:pPr>
        <w:pStyle w:val="ListNumber"/>
      </w:pPr>
      <w:r>
        <w:t xml:space="preserve">Артефакты прогонов: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reports/CONTRACT.json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reports/experiments/*/experiment.json</w:t>
      </w:r>
      <w:r>
        <w:t>.</w:t>
      </w:r>
    </w:p>
    <w:p>
      <w:pPr>
        <w:pStyle w:val="ListNumber"/>
      </w:pPr>
      <w:r>
        <w:t>Внешние наборы данных, использованные для сравнения (оценка вёлась на</w:t>
      </w:r>
    </w:p>
    <w:p>
      <w:r>
        <w:t xml:space="preserve">   закреплённых ревизиях, тексты не распространяются): описания —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spanverify-module/reports/EXTERNAL_TESTS.md</w:t>
      </w:r>
      <w:r>
        <w:t>.</w:t>
      </w:r>
    </w:p>
    <w:p>
      <w:pPr>
        <w:pStyle w:val="ListNumber"/>
      </w:pPr>
      <w:r>
        <w:t>Чужой baseline из статьи: числа извлечены автоматически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reports/baseline_from_article.json</w:t>
      </w:r>
      <w:r>
        <w:t>; при ненайденной таблице помечаются</w:t>
      </w:r>
    </w:p>
    <w:p>
      <w:r>
        <w:t xml:space="preserve">   «не извлечено» и не переносятся в текст.</w:t>
      </w:r>
    </w:p>
    <w:p>
      <w:pPr>
        <w:pStyle w:val="Heading2"/>
      </w:pPr>
      <w:r>
        <w:t>12.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docs/ОТЧЁТ_ПРИЛОЖЕНИЕ_СООТВЕТСТВИЕ.md</w:t>
      </w:r>
      <w:r>
        <w:t xml:space="preserve"> — таблица соответствия требованиям</w:t>
      </w:r>
    </w:p>
    <w:p>
      <w:r>
        <w:t xml:space="preserve">   договора (Приложение № 3, пп. 4.1 и 4.2; Приложение № 4; Приложение № 10).</w:t>
      </w:r>
    </w:p>
    <w:p>
      <w:r>
        <w:t xml:space="preserve">   Собирается автоматически из </w:t>
      </w:r>
      <w:r>
        <w:rPr>
          <w:rFonts w:ascii="Consolas" w:hAnsi="Consolas"/>
          <w:color w:val="224488"/>
          <w:sz w:val="19"/>
        </w:rPr>
        <w:t>reports/CONTRACT.json</w:t>
      </w:r>
      <w:r>
        <w:t xml:space="preserve"> скриптом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scripts/contract_check.py</w:t>
      </w:r>
      <w:r>
        <w:t>, числа в неё не вписываются руками.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docs/СООТВЕТСТВИЕ_ДОГОВОРУ.md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docs/ЗАКРЫТИЕ_ДОГОВОРА_ПО_КОДУ.md</w:t>
      </w:r>
      <w:r>
        <w:t xml:space="preserve"> — та же</w:t>
      </w:r>
    </w:p>
    <w:p>
      <w:r>
        <w:t xml:space="preserve">   таблица в полном виде с командами воспроизведения каждого числа и отдельным</w:t>
      </w:r>
    </w:p>
    <w:p>
      <w:r>
        <w:t xml:space="preserve">   разделом о зоне получателя гранта.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docs/ДОГОВОР_ИЗВЛЕЧЕНИЕ.md</w:t>
      </w:r>
      <w:r>
        <w:t xml:space="preserve"> — требования договора без персональных данных</w:t>
      </w:r>
    </w:p>
    <w:p>
      <w:r>
        <w:t xml:space="preserve">   (сам подписанный договор в публичном репозитории не хранится).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 xml:space="preserve"> — процедура внешней проверки оригинальности.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docs/ЗАДАНИЯ_CI.md</w:t>
      </w:r>
      <w:r>
        <w:t xml:space="preserve"> — какие задания CI обязаны быть зелёными, какие</w:t>
      </w:r>
    </w:p>
    <w:p>
      <w:r>
        <w:t xml:space="preserve">   запускаются вручную и куда попадают их числа (собирается скриптом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scripts/collect_ci_workflows.py</w:t>
      </w:r>
      <w:r>
        <w:t xml:space="preserve"> из файлов заданий и реестра прогонов).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