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Ответы: precision / recall / F1 / FPR</w:t>
            </w:r>
          </w:p>
        </w:tc>
        <w:tc>
          <w:tcPr>
            <w:tcW w:type="dxa" w:w="4320"/>
          </w:tcPr>
          <w:p>
            <w:r/>
            <w:r>
              <w:t>1.000 / 1.000 / 1.000 / 0.000</w:t>
            </w:r>
          </w:p>
        </w:tc>
      </w:tr>
      <w:tr>
        <w:tc>
          <w:tcPr>
            <w:tcW w:type="dxa" w:w="432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4320"/>
          </w:tcPr>
          <w:p>
            <w:r/>
            <w:r>
              <w:t>0.200</w:t>
            </w:r>
          </w:p>
        </w:tc>
      </w:tr>
    </w:tbl>
    <w:p/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27 раз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реальной модели</w:t>
      </w:r>
    </w:p>
    <w:p>
      <w:r>
        <w:rPr>
          <w:b/>
        </w:rPr>
        <w:t>Условия (артефакт `pilot-report`):</w:t>
      </w:r>
      <w:r>
        <w:t xml:space="preserve">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около 3 минут.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Вывод</w:t>
            </w:r>
          </w:p>
        </w:tc>
      </w:tr>
      <w:tr>
        <w:tc>
          <w:tcPr>
            <w:tcW w:type="dxa" w:w="1440"/>
          </w:tcPr>
          <w:p>
            <w:r/>
            <w:r>
              <w:t>first / middle / -4 / last</w:t>
            </w:r>
          </w:p>
        </w:tc>
        <w:tc>
          <w:tcPr>
            <w:tcW w:type="dxa" w:w="1440"/>
          </w:tcPr>
          <w:p>
            <w:r/>
            <w:r>
              <w:t>attention_entropy</w:t>
            </w:r>
          </w:p>
        </w:tc>
        <w:tc>
          <w:tcPr>
            <w:tcW w:type="dxa" w:w="1440"/>
          </w:tcPr>
          <w:p>
            <w:r/>
            <w:r>
              <w:t>0.499–0.506</w:t>
            </w:r>
          </w:p>
        </w:tc>
        <w:tc>
          <w:tcPr>
            <w:tcW w:type="dxa" w:w="1440"/>
          </w:tcPr>
          <w:p>
            <w:r/>
            <w:r>
              <w:t>0.500</w:t>
            </w:r>
          </w:p>
        </w:tc>
        <w:tc>
          <w:tcPr>
            <w:tcW w:type="dxa" w:w="1440"/>
          </w:tcPr>
          <w:p>
            <w:r/>
            <w:r>
              <w:t>+0.000000</w:t>
            </w:r>
          </w:p>
        </w:tc>
        <w:tc>
          <w:tcPr>
            <w:tcW w:type="dxa" w:w="1440"/>
          </w:tcPr>
          <w:p>
            <w:r/>
            <w:r>
              <w:t>незначимо</w:t>
            </w:r>
          </w:p>
        </w:tc>
      </w:tr>
      <w:tr>
        <w:tc>
          <w:tcPr>
            <w:tcW w:type="dxa" w:w="1440"/>
          </w:tcPr>
          <w:p>
            <w:r/>
            <w:r>
              <w:t>first / middle / -4 / last</w:t>
            </w:r>
          </w:p>
        </w:tc>
        <w:tc>
          <w:tcPr>
            <w:tcW w:type="dxa" w:w="1440"/>
          </w:tcPr>
          <w:p>
            <w:r/>
            <w:r>
              <w:t>ctx_attention_mass</w:t>
            </w:r>
          </w:p>
        </w:tc>
        <w:tc>
          <w:tcPr>
            <w:tcW w:type="dxa" w:w="1440"/>
          </w:tcPr>
          <w:p>
            <w:r/>
            <w:r>
              <w:t>0.499–0.501</w:t>
            </w:r>
          </w:p>
        </w:tc>
        <w:tc>
          <w:tcPr>
            <w:tcW w:type="dxa" w:w="1440"/>
          </w:tcPr>
          <w:p>
            <w:r/>
            <w:r>
              <w:t>0.500</w:t>
            </w:r>
          </w:p>
        </w:tc>
        <w:tc>
          <w:tcPr>
            <w:tcW w:type="dxa" w:w="1440"/>
          </w:tcPr>
          <w:p>
            <w:r/>
            <w:r>
              <w:t>+0.000000</w:t>
            </w:r>
          </w:p>
        </w:tc>
        <w:tc>
          <w:tcPr>
            <w:tcW w:type="dxa" w:w="1440"/>
          </w:tcPr>
          <w:p>
            <w:r/>
            <w:r>
              <w:t>незначимо</w:t>
            </w:r>
          </w:p>
        </w:tc>
      </w:tr>
      <w:tr>
        <w:tc>
          <w:tcPr>
            <w:tcW w:type="dxa" w:w="1440"/>
          </w:tcPr>
          <w:p>
            <w:r/>
            <w:r>
              <w:t>first / middle / -4 / last</w:t>
            </w:r>
          </w:p>
        </w:tc>
        <w:tc>
          <w:tcPr>
            <w:tcW w:type="dxa" w:w="1440"/>
          </w:tcPr>
          <w:p>
            <w:r/>
            <w:r>
              <w:t>embedding_density</w:t>
            </w:r>
          </w:p>
        </w:tc>
        <w:tc>
          <w:tcPr>
            <w:tcW w:type="dxa" w:w="1440"/>
          </w:tcPr>
          <w:p>
            <w:r/>
            <w:r>
              <w:t>0.492–0.499</w:t>
            </w:r>
          </w:p>
        </w:tc>
        <w:tc>
          <w:tcPr>
            <w:tcW w:type="dxa" w:w="1440"/>
          </w:tcPr>
          <w:p>
            <w:r/>
            <w:r>
              <w:t>0.500</w:t>
            </w:r>
          </w:p>
        </w:tc>
        <w:tc>
          <w:tcPr>
            <w:tcW w:type="dxa" w:w="1440"/>
          </w:tcPr>
          <w:p>
            <w:r/>
            <w:r>
              <w:t>+0.000000</w:t>
            </w:r>
          </w:p>
        </w:tc>
        <w:tc>
          <w:tcPr>
            <w:tcW w:type="dxa" w:w="1440"/>
          </w:tcPr>
          <w:p>
            <w:r/>
            <w:r>
              <w:t>незначимо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на контрасте «подмена одного числа» ни один признак</w:t>
      </w:r>
    </w:p>
    <w:p>
      <w:r>
        <w:t>ни на одном слое не разделяет достоверный и недостоверный ответы лучше случайного</w:t>
      </w:r>
    </w:p>
    <w:p>
      <w:r>
        <w:t>угадывания; парные разницы статистически неотличимы от нуля. Гипотеза о</w:t>
      </w:r>
    </w:p>
    <w:p>
      <w:r>
        <w:t>превосходстве доли внимания на документ над «сырой» энтропией внимания **не</w:t>
      </w:r>
    </w:p>
    <w:p>
      <w:r>
        <w:t>подтвердилась**.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210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87 %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