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[![tests](https://img.shields.io/badge/tests-577%20passed-brightgreen)](spanverify-module/tests)</w:t>
      </w:r>
    </w:p>
    <w:p>
      <w:r>
        <w:t>[![coverage](https://img.shields.io/badge/coverage-88%25-brightgreen)](spanverify-module/pyproject.toml)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577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0.958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0.737 при</w:t>
      </w:r>
    </w:p>
    <w:p>
      <w:r>
        <w:t xml:space="preserve">  FPR 0.145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0.958,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0.958 / FPR 0.002, кросс-корпус token F1 0.737 / FPR 0.145.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0.731</w:t>
      </w:r>
      <w:r>
        <w:t xml:space="preserve"> (правило вердикта</w:t>
      </w:r>
    </w:p>
    <w:p>
      <w:r>
        <w:t xml:space="preserve">  «одиночный токен маски не обвиняет ответ»: ложных замечаний 0, часть спорных</w:t>
      </w:r>
    </w:p>
    <w:p>
      <w:r>
        <w:t xml:space="preserve">  ответов с одним токеном больше не помечается).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Внешние размеченные наборы (v1.3.1)</w:t>
      </w:r>
    </w:p>
    <w:p>
      <w:r>
        <w:t xml:space="preserve">Метод проверен на </w:t>
      </w:r>
      <w:r>
        <w:rPr>
          <w:b/>
        </w:rPr>
        <w:t>чужих размеченных наборах</w:t>
      </w:r>
      <w:r>
        <w:t xml:space="preserve"> — там, где разметку делал не наш</w:t>
      </w:r>
    </w:p>
    <w:p>
      <w:r>
        <w:t>генератор. Правило: внешние наборы только тестируют, обучение и калибровка идут на</w:t>
      </w:r>
    </w:p>
    <w:p>
      <w:r>
        <w:t>нашем корпусе 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Объём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17 790 ответов, 2965 источников, 14 289 спанов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1000 пар, 423 спана</w:t>
            </w:r>
          </w:p>
        </w:tc>
      </w:tr>
    </w:tbl>
    <w:p/>
    <w:p>
      <w:r>
        <w:t xml:space="preserve">Что получилось в режиме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признаки, без весов модели — это не</w:t>
      </w:r>
    </w:p>
    <w:p>
      <w:r>
        <w:t xml:space="preserve">научный результат): RAGTruth QA token F1 </w:t>
      </w:r>
      <w:r>
        <w:rPr>
          <w:b/>
        </w:rPr>
        <w:t>0.204</w:t>
      </w:r>
      <w:r>
        <w:t>, FPR 0.169, AUC 0.717;</w:t>
      </w:r>
    </w:p>
    <w:p>
      <w:r>
        <w:t>Summary token F1 0.113; Data2txt token F1 0.101; RusHallu-RAG token F1 0.127.</w:t>
      </w:r>
    </w:p>
    <w:p>
      <w:r>
        <w:t>Их метрики на наших предсказаниях: RAGTruth QA accuracy 0.010, RusHallu-RAG</w:t>
      </w:r>
    </w:p>
    <w:p>
      <w:r>
        <w:t>accuracy 0.424 / ROUGE-L 0.533.</w:t>
      </w:r>
    </w:p>
    <w:p>
      <w:r>
        <w:t>Честный вывод: на внешних данных лексические суррогаты почти не работают (0.10–0.20</w:t>
      </w:r>
    </w:p>
    <w:p>
      <w:r>
        <w:t>против 0.95 на своём корпусе). Причина не в пороге: признакам нужно почти дословное</w:t>
      </w:r>
    </w:p>
    <w:p>
      <w:r>
        <w:t xml:space="preserve">совпадение, а внешние ответы — свободные пересказы.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</w:t>
      </w:r>
    </w:p>
    <w:p>
      <w:r>
        <w:t>выполнен (прогон на раннере, CPU); заявленный ориентир качества на них не достигнут,</w:t>
      </w:r>
    </w:p>
    <w:p>
      <w:r>
        <w:t xml:space="preserve">поэтому уровень качества здесь не обещается.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— во внутренних файлах</w:t>
      </w:r>
    </w:p>
    <w:p>
      <w:r>
        <w:rPr>
          <w:rFonts w:ascii="Consolas" w:hAnsi="Consolas"/>
          <w:color w:val="224488"/>
          <w:sz w:val="19"/>
        </w:rPr>
        <w:t>spanverify-module/</w:t>
      </w:r>
      <w:r>
        <w:t xml:space="preserve"> (метрики и журнал прогона), а не в этом внешнем описании;</w:t>
      </w:r>
    </w:p>
    <w:p>
      <w:r>
        <w:t>baseline из статей не извлечён (PDF недоступен).</w:t>
      </w:r>
    </w:p>
    <w:p>
      <w:r>
        <w:t xml:space="preserve">Команды: </w:t>
      </w:r>
      <w:r>
        <w:rPr>
          <w:rFonts w:ascii="Consolas" w:hAnsi="Consolas"/>
          <w:color w:val="224488"/>
          <w:sz w:val="19"/>
        </w:rPr>
        <w:t>scripts/fetch_external_tests.py --all --verify --adapt</w:t>
      </w:r>
      <w:r>
        <w:t xml:space="preserve"> (скачивание с</w:t>
      </w:r>
    </w:p>
    <w:p>
      <w:r>
        <w:t xml:space="preserve">закреплёнными ревизиями и SHA256), </w:t>
      </w:r>
      <w:r>
        <w:rPr>
          <w:rFonts w:ascii="Consolas" w:hAnsi="Consolas"/>
          <w:color w:val="224488"/>
          <w:sz w:val="19"/>
        </w:rPr>
        <w:t>scripts/external_eval.py</w:t>
      </w:r>
      <w:r>
        <w:t>, отчёт —</w:t>
      </w:r>
    </w:p>
    <w:p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docs/СООТВЕТСТВИЕ_ДОГОВОРУ.md</w:t>
            </w:r>
            <w:r>
              <w:t>](docs/СООТВЕТСТВИЕ_ДОГОВОРУ.md)</w:t>
            </w:r>
          </w:p>
        </w:tc>
        <w:tc>
          <w:tcPr>
            <w:tcW w:type="dxa" w:w="4320"/>
          </w:tcPr>
          <w:p>
            <w:r/>
            <w:r>
              <w:t xml:space="preserve">Таблица «требование договора → факт → статус»; генерируется из 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 xml:space="preserve"> скриптом 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docs/ПРОГРАММА_И_МЕТОДИКА_ПРИЁМКИ.md</w:t>
            </w:r>
            <w:r>
              <w:t xml:space="preserve">](docs/ПРОГРАММА_И_МЕТОДИКА_ПРИЁМКИ.md)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Программа и методика приёмки, включая контрактные проверки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>](reports/CONTRACT.json)</w:t>
            </w:r>
          </w:p>
        </w:tc>
        <w:tc>
          <w:tcPr>
            <w:tcW w:type="dxa" w:w="4320"/>
          </w:tcPr>
          <w:p>
            <w:r/>
            <w:r>
              <w:t>Итог контрактного прогона: статус по каждому пункту ТЗ, артефакт и коммит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reports/NUMBERS.json</w:t>
            </w:r>
            <w:r>
              <w:t>](reports/NUMBERS.json)</w:t>
            </w:r>
          </w:p>
        </w:tc>
        <w:tc>
          <w:tcPr>
            <w:tcW w:type="dxa" w:w="4320"/>
          </w:tcPr>
          <w:p>
            <w:r/>
            <w:r>
              <w:t xml:space="preserve">Реестр чисел: значение, источник, режим, набор данных, коммит; </w:t>
            </w:r>
            <w:r>
              <w:rPr>
                <w:rFonts w:ascii="Consolas" w:hAnsi="Consolas"/>
                <w:color w:val="224488"/>
                <w:sz w:val="19"/>
              </w:rPr>
              <w:t>null</w:t>
            </w:r>
            <w:r>
              <w:t xml:space="preserve"> = «не измерено» с причиной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  <w:r>
              <w:t>](scripts/contract_check.py)</w:t>
            </w:r>
          </w:p>
        </w:tc>
        <w:tc>
          <w:tcPr>
            <w:tcW w:type="dxa" w:w="4320"/>
          </w:tcPr>
          <w:p>
            <w:r/>
            <w:r>
              <w:t>31 контрактная проверка: ТЗ пп. 4.1 и 4.2, календарный план, правила отчёта, реестр чисел, CI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Как проверяется соответствие договору</w:t>
      </w:r>
    </w:p>
    <w:p>
      <w:r>
        <w:t>Договорные требования не «заявляются», а проверяются одной командой: каждая</w:t>
      </w:r>
    </w:p>
    <w:p>
      <w:r>
        <w:t>проверка пишет артефакт с коммитом, seed, режимом и набором данных, а документ</w:t>
      </w:r>
    </w:p>
    <w:p>
      <w:r>
        <w:t>соответствия собирается из этих артефактов. Числа в документах при этом не</w:t>
      </w:r>
    </w:p>
    <w:p>
      <w:r>
        <w:t>вписываются руками — их сверяет с реестром отдельный скрипт, и расхождение</w:t>
      </w:r>
    </w:p>
    <w:p>
      <w:r>
        <w:t>ломает CI.</w:t>
      </w:r>
    </w:p>
    <w:p>
      <w:r>
        <w:t>```bash</w:t>
      </w:r>
    </w:p>
    <w:p>
      <w:r>
        <w:t>python scripts/contract_check.py            # требование → факт → статус, отчёт reports/CONTRACT.json</w:t>
      </w:r>
    </w:p>
    <w:p>
      <w:r>
        <w:t>python scripts/build_numbers.py             # реестр чисел reports/NUMBERS.json</w:t>
      </w:r>
    </w:p>
    <w:p>
      <w:r>
        <w:t>python spanverify-module/scripts/check_numbers.py   # сверка чисел документов с реестром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Статус «не измерено» ставится только с причиной (например: нет весов модели</w:t>
      </w:r>
    </w:p>
    <w:p>
      <w:r>
        <w:t xml:space="preserve">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машине прогона, нет Windows-раннера, нужна внешняя система</w:t>
      </w:r>
    </w:p>
    <w:p>
      <w:r>
        <w:t xml:space="preserve">проверки оригинальности). Разделы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→</w:t>
      </w:r>
    </w:p>
    <w:p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источник чисел для</w:t>
      </w:r>
    </w:p>
    <w:p>
      <w:r>
        <w:t xml:space="preserve">этого README,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отчёта о НИР.</w:t>
      </w:r>
    </w:p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