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Техническое задание и календарный план научно-исследовательской работы</w:t>
      </w:r>
    </w:p>
    <w:p>
      <w:r>
        <w:rPr>
          <w:b/>
        </w:rPr>
        <w:t>Тема:</w:t>
      </w:r>
      <w:r>
        <w:t xml:space="preserve"> метод и программное средство проверки достоверности текста по</w:t>
      </w:r>
    </w:p>
    <w:p>
      <w:r>
        <w:t>документу-источнику на основе анализа внимания языковой модели (SpanVerify).</w:t>
      </w:r>
    </w:p>
    <w:p>
      <w:r>
        <w:t>Формулировки видов работ — научно-исследовательские. Виды работ, не относящиеся</w:t>
      </w:r>
    </w:p>
    <w:p>
      <w:r>
        <w:t>к НИР (производство, изготовление образцов, сертификация, упаковка, маркетинг,</w:t>
      </w:r>
    </w:p>
    <w:p>
      <w:r>
        <w:t>продвижение, конструкторская и технологическая документация, закупка</w:t>
      </w:r>
    </w:p>
    <w:p>
      <w:r>
        <w:t>оборудования, клинические испытания, патентование, публикация статьи и участие</w:t>
      </w:r>
    </w:p>
    <w:p>
      <w:r>
        <w:t>в конференции как результат, преакселерация, бизнес-план), в план не включены.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1. Техническое задание</w:t>
      </w:r>
    </w:p>
    <w:p>
      <w:pPr>
        <w:pStyle w:val="Heading3"/>
      </w:pPr>
      <w:r>
        <w:t>1.1. Основание и цель</w:t>
      </w:r>
    </w:p>
    <w:p>
      <w:r>
        <w:t>Основание: практическая потребность в выборочной проверке текстов, которые</w:t>
      </w:r>
    </w:p>
    <w:p>
      <w:r>
        <w:t>готовятся по документам (справки, ответы на запросы, обобщения регламентов).</w:t>
      </w:r>
    </w:p>
    <w:p>
      <w:r>
        <w:t>Цель работы: разработать и исследовать метод, который по документу-источнику и</w:t>
      </w:r>
    </w:p>
    <w:p>
      <w:r>
        <w:t>ответу указывает фрагменты ответа, не подтверждённые документом, и даёт</w:t>
      </w:r>
    </w:p>
    <w:p>
      <w:r>
        <w:t>количественную оценку достоверности ответа; реализовать метод в виде</w:t>
      </w:r>
    </w:p>
    <w:p>
      <w:r>
        <w:t>программного средства, пригодного к использованию на обычном рабочем</w:t>
      </w:r>
    </w:p>
    <w:p>
      <w:r>
        <w:t>компьютере.</w:t>
      </w:r>
    </w:p>
    <w:p>
      <w:pPr>
        <w:pStyle w:val="Heading3"/>
      </w:pPr>
      <w:r>
        <w:t>1.2. Задачи работы</w:t>
      </w:r>
    </w:p>
    <w:p>
      <w:pPr>
        <w:pStyle w:val="ListNumber"/>
      </w:pPr>
      <w:r>
        <w:t>Исследовать существующие подходы к проверке соответствия текста источнику и</w:t>
      </w:r>
    </w:p>
    <w:p>
      <w:r>
        <w:t xml:space="preserve">   определить постановку задачи для русскоязычных текстов.</w:t>
      </w:r>
    </w:p>
    <w:p>
      <w:pPr>
        <w:pStyle w:val="ListNumber"/>
      </w:pPr>
      <w:r>
        <w:t>Разработать признаки недостоверности на основе внимания языковой модели и</w:t>
      </w:r>
    </w:p>
    <w:p>
      <w:r>
        <w:t xml:space="preserve">   векторных представлений; изучить знак и информативность каждого признака.</w:t>
      </w:r>
    </w:p>
    <w:p>
      <w:pPr>
        <w:pStyle w:val="ListNumber"/>
      </w:pPr>
      <w:r>
        <w:t>Разработать схему агрегации: агрегация признаков по токенам, выделение</w:t>
      </w:r>
    </w:p>
    <w:p>
      <w:r>
        <w:t xml:space="preserve">   связных фрагментов, расширение до границ предложения, оценка ответа в целом.</w:t>
      </w:r>
    </w:p>
    <w:p>
      <w:pPr>
        <w:pStyle w:val="ListNumber"/>
      </w:pPr>
      <w:r>
        <w:t>Разработать процедуру обучения и калибровки по целевому уровню ложных</w:t>
      </w:r>
    </w:p>
    <w:p>
      <w:r>
        <w:t xml:space="preserve">   срабатываний, исключающую подбор порога по тестовой выборке.</w:t>
      </w:r>
    </w:p>
    <w:p>
      <w:pPr>
        <w:pStyle w:val="ListNumber"/>
      </w:pPr>
      <w:r>
        <w:t>Провести вычислительные эксперименты: метрики по токенам и фрагментам,</w:t>
      </w:r>
    </w:p>
    <w:p>
      <w:r>
        <w:t xml:space="preserve">   сравнение признаков между собой и по слоям модели, доверительные интервалы.</w:t>
      </w:r>
    </w:p>
    <w:p>
      <w:pPr>
        <w:pStyle w:val="ListNumber"/>
      </w:pPr>
      <w:r>
        <w:t>Разработать программное средство: локальное приложение, HTTP-интерфейс,</w:t>
      </w:r>
    </w:p>
    <w:p>
      <w:r>
        <w:t xml:space="preserve">   интерфейс командной строки; обеспечить воспроизводимость сборки.</w:t>
      </w:r>
    </w:p>
    <w:p>
      <w:pPr>
        <w:pStyle w:val="ListNumber"/>
      </w:pPr>
      <w:r>
        <w:t>Подготовить отчётность: описание метода, руководство пользователя, отчёт о</w:t>
      </w:r>
    </w:p>
    <w:p>
      <w:r>
        <w:t xml:space="preserve">   НИР, документацию по обучению на собственных данных.</w:t>
      </w:r>
    </w:p>
    <w:p>
      <w:pPr>
        <w:pStyle w:val="Heading3"/>
      </w:pPr>
      <w:r>
        <w:t>1.3. Объект и предмет исследования</w:t>
      </w:r>
    </w:p>
    <w:p>
      <w:r>
        <w:t>Объект — пары «документ-источник — ответ» (ответы языковых моделей и людей).</w:t>
      </w:r>
    </w:p>
    <w:p>
      <w:r>
        <w:t>Предмет — связь между опорой фрагментов ответа на документ и внутренними</w:t>
      </w:r>
    </w:p>
    <w:p>
      <w:r>
        <w:t>сигналами языковой модели; методы локализации неподтверждённых фрагментов.</w:t>
      </w:r>
    </w:p>
    <w:p>
      <w:pPr>
        <w:pStyle w:val="Heading3"/>
      </w:pPr>
      <w:r>
        <w:t>1.4. Методы исследования</w:t>
      </w:r>
    </w:p>
    <w:p>
      <w:pPr>
        <w:pStyle w:val="ListBullet"/>
      </w:pPr>
      <w:r>
        <w:t>анализ подходов к проверке фактической опоры текста на источник;</w:t>
      </w:r>
    </w:p>
    <w:p>
      <w:pPr>
        <w:pStyle w:val="ListBullet"/>
      </w:pPr>
      <w:r>
        <w:t>вычислительный эксперимент на размеченных парах;</w:t>
      </w:r>
    </w:p>
    <w:p>
      <w:pPr>
        <w:pStyle w:val="ListBullet"/>
      </w:pPr>
      <w:r>
        <w:t>статистическая оценка: precision, recall, F1, FPR, AUC, доверительные</w:t>
      </w:r>
    </w:p>
    <w:p>
      <w:r>
        <w:t xml:space="preserve">  интервалы методом бутстрэпа, парные сравнения;</w:t>
      </w:r>
    </w:p>
    <w:p>
      <w:pPr>
        <w:pStyle w:val="ListBullet"/>
      </w:pPr>
      <w:r>
        <w:t>сравнение признаков и слоёв модели;</w:t>
      </w:r>
    </w:p>
    <w:p>
      <w:pPr>
        <w:pStyle w:val="ListBullet"/>
      </w:pPr>
      <w:r>
        <w:t>воспроизводимые автоматические проверки (непрерывная интеграция).</w:t>
      </w:r>
    </w:p>
    <w:p>
      <w:pPr>
        <w:pStyle w:val="Heading3"/>
      </w:pPr>
      <w:r>
        <w:t>1.5. Требования к результатам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№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Требование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Форма представления</w:t>
            </w:r>
          </w:p>
        </w:tc>
      </w:tr>
      <w:tr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>
              <w:t>Описание метода: признаки, агрегация, пороги, калибровка</w:t>
            </w:r>
          </w:p>
        </w:tc>
        <w:tc>
          <w:tcPr>
            <w:tcW w:type="dxa" w:w="2880"/>
          </w:tcPr>
          <w:p>
            <w:r/>
            <w:r>
              <w:t xml:space="preserve">разделы отчёта о НИР и </w:t>
            </w:r>
            <w:r>
              <w:rPr>
                <w:rFonts w:ascii="Consolas" w:hAnsi="Consolas"/>
                <w:color w:val="224488"/>
                <w:sz w:val="19"/>
              </w:rPr>
              <w:t>README</w:t>
            </w:r>
            <w:r>
              <w:t xml:space="preserve"> модуля</w:t>
            </w:r>
          </w:p>
        </w:tc>
      </w:tr>
      <w:tr>
        <w:tc>
          <w:tcPr>
            <w:tcW w:type="dxa" w:w="2880"/>
          </w:tcPr>
          <w:p>
            <w:r/>
            <w:r>
              <w:t>2</w:t>
            </w:r>
          </w:p>
        </w:tc>
        <w:tc>
          <w:tcPr>
            <w:tcW w:type="dxa" w:w="2880"/>
          </w:tcPr>
          <w:p>
            <w:r/>
            <w:r>
              <w:t>Параметры метода, воспроизводимые по seed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config/weights.json</w:t>
            </w:r>
            <w:r>
              <w:t xml:space="preserve">, </w:t>
            </w:r>
            <w:r>
              <w:rPr>
                <w:rFonts w:ascii="Consolas" w:hAnsi="Consolas"/>
                <w:color w:val="224488"/>
                <w:sz w:val="19"/>
              </w:rPr>
              <w:t>config/head.json</w:t>
            </w:r>
          </w:p>
        </w:tc>
      </w:tr>
      <w:tr>
        <w:tc>
          <w:tcPr>
            <w:tcW w:type="dxa" w:w="2880"/>
          </w:tcPr>
          <w:p>
            <w:r/>
            <w:r>
              <w:t>3</w:t>
            </w:r>
          </w:p>
        </w:tc>
        <w:tc>
          <w:tcPr>
            <w:tcW w:type="dxa" w:w="2880"/>
          </w:tcPr>
          <w:p>
            <w:r/>
            <w:r>
              <w:t>Программное средство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.exe</w:t>
            </w:r>
            <w:r>
              <w:t xml:space="preserve"> для Windows (один файл), </w:t>
            </w:r>
            <w:r>
              <w:rPr>
                <w:rFonts w:ascii="Consolas" w:hAnsi="Consolas"/>
                <w:color w:val="224488"/>
                <w:sz w:val="19"/>
              </w:rPr>
              <w:t>.pyz</w:t>
            </w:r>
            <w:r>
              <w:t>, HTTP-интерфейс, CLI</w:t>
            </w:r>
          </w:p>
        </w:tc>
      </w:tr>
      <w:tr>
        <w:tc>
          <w:tcPr>
            <w:tcW w:type="dxa" w:w="2880"/>
          </w:tcPr>
          <w:p>
            <w:r/>
            <w:r>
              <w:t>4</w:t>
            </w:r>
          </w:p>
        </w:tc>
        <w:tc>
          <w:tcPr>
            <w:tcW w:type="dxa" w:w="2880"/>
          </w:tcPr>
          <w:p>
            <w:r/>
            <w:r>
              <w:t>Оценка качества на отложенной части</w:t>
            </w:r>
          </w:p>
        </w:tc>
        <w:tc>
          <w:tcPr>
            <w:tcW w:type="dxa" w:w="2880"/>
          </w:tcPr>
          <w:p>
            <w:r/>
            <w:r>
              <w:t>отчёт прогона, файл метрик</w:t>
            </w:r>
          </w:p>
        </w:tc>
      </w:tr>
      <w:tr>
        <w:tc>
          <w:tcPr>
            <w:tcW w:type="dxa" w:w="2880"/>
          </w:tcPr>
          <w:p>
            <w:r/>
            <w:r>
              <w:t>5</w:t>
            </w:r>
          </w:p>
        </w:tc>
        <w:tc>
          <w:tcPr>
            <w:tcW w:type="dxa" w:w="2880"/>
          </w:tcPr>
          <w:p>
            <w:r/>
            <w:r>
              <w:t>Пилотное исследование по слоям реальной модели</w:t>
            </w:r>
          </w:p>
        </w:tc>
        <w:tc>
          <w:tcPr>
            <w:tcW w:type="dxa" w:w="2880"/>
          </w:tcPr>
          <w:p>
            <w:r/>
            <w:r>
              <w:t>отчёт пилота (артефакт запуска)</w:t>
            </w:r>
          </w:p>
        </w:tc>
      </w:tr>
      <w:tr>
        <w:tc>
          <w:tcPr>
            <w:tcW w:type="dxa" w:w="2880"/>
          </w:tcPr>
          <w:p>
            <w:r/>
            <w:r>
              <w:t>6</w:t>
            </w:r>
          </w:p>
        </w:tc>
        <w:tc>
          <w:tcPr>
            <w:tcW w:type="dxa" w:w="2880"/>
          </w:tcPr>
          <w:p>
            <w:r/>
            <w:r>
              <w:t>Руководство пользователя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docs/РУКОВОДСТВО.md</w:t>
            </w:r>
          </w:p>
        </w:tc>
      </w:tr>
      <w:tr>
        <w:tc>
          <w:tcPr>
            <w:tcW w:type="dxa" w:w="2880"/>
          </w:tcPr>
          <w:p>
            <w:r/>
            <w:r>
              <w:t>7</w:t>
            </w:r>
          </w:p>
        </w:tc>
        <w:tc>
          <w:tcPr>
            <w:tcW w:type="dxa" w:w="2880"/>
          </w:tcPr>
          <w:p>
            <w:r/>
            <w:r>
              <w:t>Отчёт о НИР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docs/ОТЧЁТ_о_НИР_шаблон.md</w:t>
            </w:r>
            <w:r>
              <w:t xml:space="preserve"> + материалы репозитория</w:t>
            </w:r>
          </w:p>
        </w:tc>
      </w:tr>
    </w:tbl>
    <w:p/>
    <w:p>
      <w:pPr>
        <w:pStyle w:val="Heading3"/>
      </w:pPr>
      <w:r>
        <w:t>1.6. Критерии приёмки</w:t>
      </w:r>
    </w:p>
    <w:p>
      <w:r>
        <w:t>Договорный критерий (проект 117812, ТЗ п. 4.1 треб. 6): на отложенной по</w:t>
      </w:r>
    </w:p>
    <w:p>
      <w:r>
        <w:t>документам части набора из 1200 пар — F1 ≥ 0.50 при FPR ≤ 0.40. Внутренний</w:t>
      </w:r>
    </w:p>
    <w:p>
      <w:r>
        <w:t>ориентир проекта (заявка, мастер-промт) строже договорного: F1 ≥ 0.90 при</w:t>
      </w:r>
    </w:p>
    <w:p>
      <w:r>
        <w:t>FPR ≤ 0.10; он проверяется отдельной строкой отчёта и не подменяет договорный.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Критерий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Значение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Способ проверки</w:t>
            </w:r>
          </w:p>
        </w:tc>
      </w:tr>
      <w:tr>
        <w:tc>
          <w:tcPr>
            <w:tcW w:type="dxa" w:w="2880"/>
          </w:tcPr>
          <w:p>
            <w:r/>
            <w:r>
              <w:t>Договорный: качество по токенам на отложенной части</w:t>
            </w:r>
          </w:p>
        </w:tc>
        <w:tc>
          <w:tcPr>
            <w:tcW w:type="dxa" w:w="2880"/>
          </w:tcPr>
          <w:p>
            <w:r/>
            <w:r>
              <w:t>F1 ≥ 0.50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python -m spanverify evaluate --dataset data/corpus_a/splits/test.jsonl</w:t>
            </w:r>
          </w:p>
        </w:tc>
      </w:tr>
      <w:tr>
        <w:tc>
          <w:tcPr>
            <w:tcW w:type="dxa" w:w="2880"/>
          </w:tcPr>
          <w:p>
            <w:r/>
            <w:r>
              <w:t>Договорный: ложные срабатывания</w:t>
            </w:r>
          </w:p>
        </w:tc>
        <w:tc>
          <w:tcPr>
            <w:tcW w:type="dxa" w:w="2880"/>
          </w:tcPr>
          <w:p>
            <w:r/>
            <w:r>
              <w:t>FPR ≤ 0.40</w:t>
            </w:r>
          </w:p>
        </w:tc>
        <w:tc>
          <w:tcPr>
            <w:tcW w:type="dxa" w:w="2880"/>
          </w:tcPr>
          <w:p>
            <w:r/>
            <w:r>
              <w:t>там же</w:t>
            </w:r>
          </w:p>
        </w:tc>
      </w:tr>
      <w:tr>
        <w:tc>
          <w:tcPr>
            <w:tcW w:type="dxa" w:w="2880"/>
          </w:tcPr>
          <w:p>
            <w:r/>
            <w:r>
              <w:t>Внутренний ориентир: качество по токенам</w:t>
            </w:r>
          </w:p>
        </w:tc>
        <w:tc>
          <w:tcPr>
            <w:tcW w:type="dxa" w:w="2880"/>
          </w:tcPr>
          <w:p>
            <w:r/>
            <w:r>
              <w:t>F1 ≥ 0.90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python -m spanverify evaluate --dataset data/demo_pairs.jsonl</w:t>
            </w:r>
          </w:p>
        </w:tc>
      </w:tr>
      <w:tr>
        <w:tc>
          <w:tcPr>
            <w:tcW w:type="dxa" w:w="2880"/>
          </w:tcPr>
          <w:p>
            <w:r/>
            <w:r>
              <w:t>Внутренний ориентир: ложные срабатывания</w:t>
            </w:r>
          </w:p>
        </w:tc>
        <w:tc>
          <w:tcPr>
            <w:tcW w:type="dxa" w:w="2880"/>
          </w:tcPr>
          <w:p>
            <w:r/>
            <w:r>
              <w:t>FPR ≤ 0.10</w:t>
            </w:r>
          </w:p>
        </w:tc>
        <w:tc>
          <w:tcPr>
            <w:tcW w:type="dxa" w:w="2880"/>
          </w:tcPr>
          <w:p>
            <w:r/>
            <w:r>
              <w:t>там же</w:t>
            </w:r>
          </w:p>
        </w:tc>
      </w:tr>
      <w:tr>
        <w:tc>
          <w:tcPr>
            <w:tcW w:type="dxa" w:w="2880"/>
          </w:tcPr>
          <w:p>
            <w:r/>
            <w:r>
              <w:t>Воспроизводимость обучения</w:t>
            </w:r>
          </w:p>
        </w:tc>
        <w:tc>
          <w:tcPr>
            <w:tcW w:type="dxa" w:w="2880"/>
          </w:tcPr>
          <w:p>
            <w:r/>
            <w:r>
              <w:t>одинаковый seed → одинаковый файл параметров</w:t>
            </w:r>
          </w:p>
        </w:tc>
        <w:tc>
          <w:tcPr>
            <w:tcW w:type="dxa" w:w="2880"/>
          </w:tcPr>
          <w:p>
            <w:r/>
            <w:r>
              <w:t>сверка контрольной суммы в CI</w:t>
            </w:r>
          </w:p>
        </w:tc>
      </w:tr>
      <w:tr>
        <w:tc>
          <w:tcPr>
            <w:tcW w:type="dxa" w:w="2880"/>
          </w:tcPr>
          <w:p>
            <w:r/>
            <w:r>
              <w:t>Автоматические проверки</w:t>
            </w:r>
          </w:p>
        </w:tc>
        <w:tc>
          <w:tcPr>
            <w:tcW w:type="dxa" w:w="2880"/>
          </w:tcPr>
          <w:p>
            <w:r/>
            <w:r>
              <w:t>все проходят</w:t>
            </w:r>
          </w:p>
        </w:tc>
        <w:tc>
          <w:tcPr>
            <w:tcW w:type="dxa" w:w="2880"/>
          </w:tcPr>
          <w:p>
            <w:r/>
            <w:r>
              <w:t>GitHub Actions: тесты, покрытие ≥ 85 %, стиль</w:t>
            </w:r>
          </w:p>
        </w:tc>
      </w:tr>
      <w:tr>
        <w:tc>
          <w:tcPr>
            <w:tcW w:type="dxa" w:w="2880"/>
          </w:tcPr>
          <w:p>
            <w:r/>
            <w:r>
              <w:t>Работоспособность приложения</w:t>
            </w:r>
          </w:p>
        </w:tc>
        <w:tc>
          <w:tcPr>
            <w:tcW w:type="dxa" w:w="2880"/>
          </w:tcPr>
          <w:p>
            <w:r/>
            <w:r>
              <w:t>запускается и отвечает</w:t>
            </w:r>
          </w:p>
        </w:tc>
        <w:tc>
          <w:tcPr>
            <w:tcW w:type="dxa" w:w="2880"/>
          </w:tcPr>
          <w:p>
            <w:r/>
            <w:r>
              <w:t xml:space="preserve">смоук-тест собранного </w:t>
            </w:r>
            <w:r>
              <w:rPr>
                <w:rFonts w:ascii="Consolas" w:hAnsi="Consolas"/>
                <w:color w:val="224488"/>
                <w:sz w:val="19"/>
              </w:rPr>
              <w:t>.exe</w:t>
            </w:r>
            <w:r>
              <w:t xml:space="preserve"> в CI</w:t>
            </w:r>
          </w:p>
        </w:tc>
      </w:tr>
      <w:tr>
        <w:tc>
          <w:tcPr>
            <w:tcW w:type="dxa" w:w="2880"/>
          </w:tcPr>
          <w:p>
            <w:r/>
            <w:r>
              <w:t>Отсутствие подбора порога по тесту</w:t>
            </w:r>
          </w:p>
        </w:tc>
        <w:tc>
          <w:tcPr>
            <w:tcW w:type="dxa" w:w="2880"/>
          </w:tcPr>
          <w:p>
            <w:r/>
            <w:r>
              <w:t>подтверждается кодом и журналом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train.py</w:t>
            </w:r>
            <w:r>
              <w:t xml:space="preserve">, </w:t>
            </w:r>
            <w:r>
              <w:rPr>
                <w:rFonts w:ascii="Consolas" w:hAnsi="Consolas"/>
                <w:color w:val="224488"/>
                <w:sz w:val="19"/>
              </w:rPr>
              <w:t>PROGRESS.md</w:t>
            </w:r>
          </w:p>
        </w:tc>
      </w:tr>
    </w:tbl>
    <w:p/>
    <w:p>
      <w:pPr>
        <w:pStyle w:val="Heading3"/>
      </w:pPr>
      <w:r>
        <w:t>1.7. Ограничения и допущения</w:t>
      </w:r>
    </w:p>
    <w:p>
      <w:pPr>
        <w:pStyle w:val="ListBullet"/>
      </w:pPr>
      <w:r>
        <w:t>Вычисления — на CPU; модель признаков небольшая (зависимость от выбора модели</w:t>
      </w:r>
    </w:p>
    <w:p>
      <w:r>
        <w:t xml:space="preserve">  указана в отчёте).</w:t>
      </w:r>
    </w:p>
    <w:p>
      <w:pPr>
        <w:pStyle w:val="ListBullet"/>
      </w:pPr>
      <w:r>
        <w:t>Демонстрационный корпус синтетический; для прикладных выводов требуется</w:t>
      </w:r>
    </w:p>
    <w:p>
      <w:r>
        <w:t xml:space="preserve">  разметка пользователя.</w:t>
      </w:r>
    </w:p>
    <w:p>
      <w:pPr>
        <w:pStyle w:val="ListBullet"/>
      </w:pPr>
      <w:r>
        <w:t>Пилот ограничен объёмом в десятки контрастных пар; доверительные интервалы</w:t>
      </w:r>
    </w:p>
    <w:p>
      <w:r>
        <w:t xml:space="preserve">  широкие.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2. Календарный план</w:t>
      </w:r>
    </w:p>
    <w:p>
      <w:pPr>
        <w:pStyle w:val="Heading3"/>
      </w:pPr>
      <w:r>
        <w:t>2.0. Календарный план договора (Приложение № 4 к договору)</w:t>
      </w:r>
    </w:p>
    <w:p>
      <w:r>
        <w:t>Договорный план — два этапа по 6 месяцев; вознаграждение 200 000 руб. за первый</w:t>
      </w:r>
    </w:p>
    <w:p>
      <w:r>
        <w:t>этап и 300 000 руб. за второй. Внутренние этапы 1–8 (ниже) — это рабочая</w:t>
      </w:r>
    </w:p>
    <w:p>
      <w:r>
        <w:t>декомпозиция внутри договорных этапов, она не меняет ни сроков, ни суммы.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Этап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Срок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Содержание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Результат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Сумма</w:t>
            </w:r>
          </w:p>
        </w:tc>
      </w:tr>
      <w:tr>
        <w:tc>
          <w:tcPr>
            <w:tcW w:type="dxa" w:w="1728"/>
          </w:tcPr>
          <w:p>
            <w:r/>
            <w:r>
              <w:t>1-й этап</w:t>
            </w:r>
          </w:p>
        </w:tc>
        <w:tc>
          <w:tcPr>
            <w:tcW w:type="dxa" w:w="1728"/>
          </w:tcPr>
          <w:p>
            <w:r/>
            <w:r>
              <w:t>1–6-й месяцы</w:t>
            </w:r>
          </w:p>
        </w:tc>
        <w:tc>
          <w:tcPr>
            <w:tcW w:type="dxa" w:w="1728"/>
          </w:tcPr>
          <w:p>
            <w:r/>
            <w:r>
              <w:t>исследование подходов, постановка задачи, реализация и обучение метода, оценка на отложенной части, пилот на реальной модели, сборка опытного образца</w:t>
            </w:r>
          </w:p>
        </w:tc>
        <w:tc>
          <w:tcPr>
            <w:tcW w:type="dxa" w:w="1728"/>
          </w:tcPr>
          <w:p>
            <w:r/>
            <w:r>
              <w:t>метод и его параметры, размеченный набор, протокол эксперимента, опытный образец программы</w:t>
            </w:r>
          </w:p>
        </w:tc>
        <w:tc>
          <w:tcPr>
            <w:tcW w:type="dxa" w:w="1728"/>
          </w:tcPr>
          <w:p>
            <w:r/>
            <w:r>
              <w:t>200 000 руб.</w:t>
            </w:r>
          </w:p>
        </w:tc>
      </w:tr>
      <w:tr>
        <w:tc>
          <w:tcPr>
            <w:tcW w:type="dxa" w:w="1728"/>
          </w:tcPr>
          <w:p>
            <w:r/>
            <w:r>
              <w:t>2-й этап</w:t>
            </w:r>
          </w:p>
        </w:tc>
        <w:tc>
          <w:tcPr>
            <w:tcW w:type="dxa" w:w="1728"/>
          </w:tcPr>
          <w:p>
            <w:r/>
            <w:r>
              <w:t>7–12-й месяцы</w:t>
            </w:r>
          </w:p>
        </w:tc>
        <w:tc>
          <w:tcPr>
            <w:tcW w:type="dxa" w:w="1728"/>
          </w:tcPr>
          <w:p>
            <w:r/>
            <w:r>
              <w:t>доведение программного средства до поставки, локальный веб-интерфейс и HTTP API, руководство пользователя, приёмка в объёме программы испытаний, оформление РИД, подготовка отчёта о НИР</w:t>
            </w:r>
          </w:p>
        </w:tc>
        <w:tc>
          <w:tcPr>
            <w:tcW w:type="dxa" w:w="1728"/>
          </w:tcPr>
          <w:p>
            <w:r/>
            <w:r>
              <w:t>поставка (исполняемый файл и переносимый пакет с контрольными суммами), документы приёмки, РИД, отчёт о НИР</w:t>
            </w:r>
          </w:p>
        </w:tc>
        <w:tc>
          <w:tcPr>
            <w:tcW w:type="dxa" w:w="1728"/>
          </w:tcPr>
          <w:p>
            <w:r/>
            <w:r>
              <w:t>300 000 руб.</w:t>
            </w:r>
          </w:p>
        </w:tc>
      </w:tr>
    </w:tbl>
    <w:p/>
    <w:p>
      <w:r>
        <w:t>Отчётность по этапам подаётся в АС «Фонд-М» не позднее чем за 20 календарных</w:t>
      </w:r>
    </w:p>
    <w:p>
      <w:r>
        <w:t>дней до окончания этапа.</w:t>
      </w:r>
    </w:p>
    <w:p>
      <w:pPr>
        <w:pStyle w:val="ListBullet"/>
      </w:pPr>
      <w:r>
        <w:t>1-й этап: промежуточный отчёт, акт, финансовый отчёт.</w:t>
      </w:r>
    </w:p>
    <w:p>
      <w:pPr>
        <w:pStyle w:val="ListBullet"/>
      </w:pPr>
      <w:r>
        <w:t>2-й этап: заключительный отчёт, акт, финансовый отчёт, пакет</w:t>
      </w:r>
    </w:p>
    <w:p>
      <w:r>
        <w:t xml:space="preserve">  предускорения, заявка на РИД, бизнес-план (по линии «Студенческий стартап» /</w:t>
      </w:r>
    </w:p>
    <w:p>
      <w:r>
        <w:t xml:space="preserve">  «Старт»), дорожная карта, отчёт о достижении результатов.</w:t>
      </w:r>
    </w:p>
    <w:p>
      <w:r>
        <w:t>Календарные даты этапов проставляются при подаче заявки.</w:t>
      </w:r>
    </w:p>
    <w:p>
      <w:pPr>
        <w:pStyle w:val="Heading3"/>
      </w:pPr>
      <w:r>
        <w:t>2.1. Рабочая декомпозиция (внутренние этапы)</w:t>
      </w:r>
    </w:p>
    <w:p>
      <w:r>
        <w:t>Сроки указаны в месяцах от начала работы; календарные даты проставляются при</w:t>
      </w:r>
    </w:p>
    <w:p>
      <w:r>
        <w:t>подаче заявки.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Этап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Содержание работы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Результат этапа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Срок</w:t>
            </w:r>
          </w:p>
        </w:tc>
      </w:tr>
      <w:tr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t>Исследование подходов, постановка задачи, выбор признаков</w:t>
            </w:r>
          </w:p>
        </w:tc>
        <w:tc>
          <w:tcPr>
            <w:tcW w:type="dxa" w:w="2160"/>
          </w:tcPr>
          <w:p>
            <w:r/>
            <w:r>
              <w:t>аналитическая записка, постановка задачи</w:t>
            </w:r>
          </w:p>
        </w:tc>
        <w:tc>
          <w:tcPr>
            <w:tcW w:type="dxa" w:w="2160"/>
          </w:tcPr>
          <w:p>
            <w:r/>
            <w:r>
              <w:t>1-й месяц</w:t>
            </w:r>
          </w:p>
        </w:tc>
      </w:tr>
      <w:tr>
        <w:tc>
          <w:tcPr>
            <w:tcW w:type="dxa" w:w="2160"/>
          </w:tcPr>
          <w:p>
            <w:r/>
            <w:r>
              <w:t>2</w:t>
            </w:r>
          </w:p>
        </w:tc>
        <w:tc>
          <w:tcPr>
            <w:tcW w:type="dxa" w:w="2160"/>
          </w:tcPr>
          <w:p>
            <w:r/>
            <w:r>
              <w:t>Реализация признаков и схемы агрегации; подготовка размеченного набора пар</w:t>
            </w:r>
          </w:p>
        </w:tc>
        <w:tc>
          <w:tcPr>
            <w:tcW w:type="dxa" w:w="2160"/>
          </w:tcPr>
          <w:p>
            <w:r/>
            <w:r>
              <w:t>описание признаков, размеченный набор</w:t>
            </w:r>
          </w:p>
        </w:tc>
        <w:tc>
          <w:tcPr>
            <w:tcW w:type="dxa" w:w="2160"/>
          </w:tcPr>
          <w:p>
            <w:r/>
            <w:r>
              <w:t>2–3-й месяцы</w:t>
            </w:r>
          </w:p>
        </w:tc>
      </w:tr>
      <w:tr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>
              <w:t>Обучение и калибровка метода по целевому уровню ложных срабатываний</w:t>
            </w:r>
          </w:p>
        </w:tc>
        <w:tc>
          <w:tcPr>
            <w:tcW w:type="dxa" w:w="2160"/>
          </w:tcPr>
          <w:p>
            <w:r/>
            <w:r>
              <w:t>обученные параметры, воспроизводимая процедура обучения</w:t>
            </w:r>
          </w:p>
        </w:tc>
        <w:tc>
          <w:tcPr>
            <w:tcW w:type="dxa" w:w="2160"/>
          </w:tcPr>
          <w:p>
            <w:r/>
            <w:r>
              <w:t>4-й месяц</w:t>
            </w:r>
          </w:p>
        </w:tc>
      </w:tr>
      <w:tr>
        <w:tc>
          <w:tcPr>
            <w:tcW w:type="dxa" w:w="2160"/>
          </w:tcPr>
          <w:p>
            <w:r/>
            <w:r>
              <w:t>4</w:t>
            </w:r>
          </w:p>
        </w:tc>
        <w:tc>
          <w:tcPr>
            <w:tcW w:type="dxa" w:w="2160"/>
          </w:tcPr>
          <w:p>
            <w:r/>
            <w:r>
              <w:t>Оценка качества на отложенной части; метрики по токенам и фрагментам</w:t>
            </w:r>
          </w:p>
        </w:tc>
        <w:tc>
          <w:tcPr>
            <w:tcW w:type="dxa" w:w="2160"/>
          </w:tcPr>
          <w:p>
            <w:r/>
            <w:r>
              <w:t>протокол эксперимента, таблицы метрик</w:t>
            </w:r>
          </w:p>
        </w:tc>
        <w:tc>
          <w:tcPr>
            <w:tcW w:type="dxa" w:w="2160"/>
          </w:tcPr>
          <w:p>
            <w:r/>
            <w:r>
              <w:t>5-й месяц</w:t>
            </w:r>
          </w:p>
        </w:tc>
      </w:tr>
      <w:tr>
        <w:tc>
          <w:tcPr>
            <w:tcW w:type="dxa" w:w="2160"/>
          </w:tcPr>
          <w:p>
            <w:r/>
            <w:r>
              <w:t>5</w:t>
            </w:r>
          </w:p>
        </w:tc>
        <w:tc>
          <w:tcPr>
            <w:tcW w:type="dxa" w:w="2160"/>
          </w:tcPr>
          <w:p>
            <w:r/>
            <w:r>
              <w:t>Пилотное исследование признаков по слоям реальной модели</w:t>
            </w:r>
          </w:p>
        </w:tc>
        <w:tc>
          <w:tcPr>
            <w:tcW w:type="dxa" w:w="2160"/>
          </w:tcPr>
          <w:p>
            <w:r/>
            <w:r>
              <w:t>отчёт пилота с доверительными интервалами</w:t>
            </w:r>
          </w:p>
        </w:tc>
        <w:tc>
          <w:tcPr>
            <w:tcW w:type="dxa" w:w="2160"/>
          </w:tcPr>
          <w:p>
            <w:r/>
            <w:r>
              <w:t>6-й месяц</w:t>
            </w:r>
          </w:p>
        </w:tc>
      </w:tr>
      <w:tr>
        <w:tc>
          <w:tcPr>
            <w:tcW w:type="dxa" w:w="2160"/>
          </w:tcPr>
          <w:p>
            <w:r/>
            <w:r>
              <w:t>6</w:t>
            </w:r>
          </w:p>
        </w:tc>
        <w:tc>
          <w:tcPr>
            <w:tcW w:type="dxa" w:w="2160"/>
          </w:tcPr>
          <w:p>
            <w:r/>
            <w:r>
              <w:t>Разработка программного средства (приложение, HTTP-интерфейс, CLI)</w:t>
            </w:r>
          </w:p>
        </w:tc>
        <w:tc>
          <w:tcPr>
            <w:tcW w:type="dxa" w:w="2160"/>
          </w:tcPr>
          <w:p>
            <w:r/>
            <w:r>
              <w:t>работающее средство</w:t>
            </w:r>
          </w:p>
        </w:tc>
        <w:tc>
          <w:tcPr>
            <w:tcW w:type="dxa" w:w="2160"/>
          </w:tcPr>
          <w:p>
            <w:r/>
            <w:r>
              <w:t>7–8-й месяцы</w:t>
            </w:r>
          </w:p>
        </w:tc>
      </w:tr>
      <w:tr>
        <w:tc>
          <w:tcPr>
            <w:tcW w:type="dxa" w:w="2160"/>
          </w:tcPr>
          <w:p>
            <w:r/>
            <w:r>
              <w:t>7</w:t>
            </w:r>
          </w:p>
        </w:tc>
        <w:tc>
          <w:tcPr>
            <w:tcW w:type="dxa" w:w="2160"/>
          </w:tcPr>
          <w:p>
            <w:r/>
            <w:r>
              <w:t>Апробация на контрольных примерах, автоматические проверки, документация</w:t>
            </w:r>
          </w:p>
        </w:tc>
        <w:tc>
          <w:tcPr>
            <w:tcW w:type="dxa" w:w="2160"/>
          </w:tcPr>
          <w:p>
            <w:r/>
            <w:r>
              <w:t>руководство пользователя, протоколы проверок</w:t>
            </w:r>
          </w:p>
        </w:tc>
        <w:tc>
          <w:tcPr>
            <w:tcW w:type="dxa" w:w="2160"/>
          </w:tcPr>
          <w:p>
            <w:r/>
            <w:r>
              <w:t>9-й месяц</w:t>
            </w:r>
          </w:p>
        </w:tc>
      </w:tr>
      <w:tr>
        <w:tc>
          <w:tcPr>
            <w:tcW w:type="dxa" w:w="2160"/>
          </w:tcPr>
          <w:p>
            <w:r/>
            <w:r>
              <w:t>8</w:t>
            </w:r>
          </w:p>
        </w:tc>
        <w:tc>
          <w:tcPr>
            <w:tcW w:type="dxa" w:w="2160"/>
          </w:tcPr>
          <w:p>
            <w:r/>
            <w:r>
              <w:t>Обобщение результатов, отчёт о НИР</w:t>
            </w:r>
          </w:p>
        </w:tc>
        <w:tc>
          <w:tcPr>
            <w:tcW w:type="dxa" w:w="2160"/>
          </w:tcPr>
          <w:p>
            <w:r/>
            <w:r>
              <w:t>отчёт о НИР</w:t>
            </w:r>
          </w:p>
        </w:tc>
        <w:tc>
          <w:tcPr>
            <w:tcW w:type="dxa" w:w="2160"/>
          </w:tcPr>
          <w:p>
            <w:r/>
            <w:r>
              <w:t>10-й месяц</w:t>
            </w:r>
          </w:p>
        </w:tc>
      </w:tr>
    </w:tbl>
    <w:p/>
    <w:p>
      <w:pPr>
        <w:pStyle w:val="Heading3"/>
      </w:pPr>
      <w:r>
        <w:t>2.2. Результаты по этапам (формулировки для заявки)</w:t>
      </w:r>
    </w:p>
    <w:p>
      <w:pPr>
        <w:pStyle w:val="ListBullet"/>
      </w:pPr>
      <w:r>
        <w:t>Этапы 1–2: постановка задачи; описание признаков и агрегации; размеченный</w:t>
      </w:r>
    </w:p>
    <w:p>
      <w:r>
        <w:t xml:space="preserve">  набор пар с разметкой по символам.</w:t>
      </w:r>
    </w:p>
    <w:p>
      <w:pPr>
        <w:pStyle w:val="ListBullet"/>
      </w:pPr>
      <w:r>
        <w:t>Этапы 3–5: обученные параметры; метрики качества; результаты сравнения</w:t>
      </w:r>
    </w:p>
    <w:p>
      <w:r>
        <w:t xml:space="preserve">  признаков и слоёв модели; выводы об информативности сигналов.</w:t>
      </w:r>
    </w:p>
    <w:p>
      <w:pPr>
        <w:pStyle w:val="ListBullet"/>
      </w:pPr>
      <w:r>
        <w:t>Этапы 6–7: программное средство и документация; протоколы автоматических</w:t>
      </w:r>
    </w:p>
    <w:p>
      <w:r>
        <w:t xml:space="preserve">  проверок.</w:t>
      </w:r>
    </w:p>
    <w:p>
      <w:pPr>
        <w:pStyle w:val="ListBullet"/>
      </w:pPr>
      <w:r>
        <w:t>Этап 8: отчёт о НИР с разделением демонстрационных и научных результатов.</w:t>
      </w:r>
    </w:p>
    <w:p>
      <w:pPr>
        <w:pStyle w:val="Heading3"/>
      </w:pPr>
      <w:r>
        <w:t>2.3. Риски и способы их снижения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Риск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Снижение</w:t>
            </w:r>
          </w:p>
        </w:tc>
      </w:tr>
      <w:tr>
        <w:tc>
          <w:tcPr>
            <w:tcW w:type="dxa" w:w="4320"/>
          </w:tcPr>
          <w:p>
            <w:r/>
            <w:r>
              <w:t>Слабая информативность признаков на реальных текстах</w:t>
            </w:r>
          </w:p>
        </w:tc>
        <w:tc>
          <w:tcPr>
            <w:tcW w:type="dxa" w:w="4320"/>
          </w:tcPr>
          <w:p>
            <w:r/>
            <w:r>
              <w:t>парные эксперименты, расширение набора признаков, калибровка на данных пользователя</w:t>
            </w:r>
          </w:p>
        </w:tc>
      </w:tr>
      <w:tr>
        <w:tc>
          <w:tcPr>
            <w:tcW w:type="dxa" w:w="4320"/>
          </w:tcPr>
          <w:p>
            <w:r/>
            <w:r>
              <w:t>Ограниченные вычислительные ресурсы</w:t>
            </w:r>
          </w:p>
        </w:tc>
        <w:tc>
          <w:tcPr>
            <w:tcW w:type="dxa" w:w="4320"/>
          </w:tcPr>
          <w:p>
            <w:r/>
            <w:r>
              <w:t>вычисления на CPU, малая модель, разбиение анализа по слоям</w:t>
            </w:r>
          </w:p>
        </w:tc>
      </w:tr>
      <w:tr>
        <w:tc>
          <w:tcPr>
            <w:tcW w:type="dxa" w:w="4320"/>
          </w:tcPr>
          <w:p>
            <w:r/>
            <w:r>
              <w:t>Недоступность весов модели</w:t>
            </w:r>
          </w:p>
        </w:tc>
        <w:tc>
          <w:tcPr>
            <w:tcW w:type="dxa" w:w="4320"/>
          </w:tcPr>
          <w:p>
            <w:r/>
            <w:r>
              <w:t>локальный кэш весов; замена на другую открытую модель</w:t>
            </w:r>
          </w:p>
        </w:tc>
      </w:tr>
      <w:tr>
        <w:tc>
          <w:tcPr>
            <w:tcW w:type="dxa" w:w="4320"/>
          </w:tcPr>
          <w:p>
            <w:r/>
            <w:r>
              <w:t>Недостаток размеченных данных</w:t>
            </w:r>
          </w:p>
        </w:tc>
        <w:tc>
          <w:tcPr>
            <w:tcW w:type="dxa" w:w="4320"/>
          </w:tcPr>
          <w:p>
            <w:r/>
            <w:r>
              <w:t>приоритет малых, но аккуратно размеченных наборов; шаблон разметки в комплекте</w:t>
            </w:r>
          </w:p>
        </w:tc>
      </w:tr>
    </w:tbl>
    <w:p/>
    <w:p>
      <w:pPr>
        <w:pStyle w:val="Heading3"/>
      </w:pPr>
      <w:r>
        <w:t>2.4. Формы отчётности</w:t>
      </w:r>
    </w:p>
    <w:p>
      <w:r>
        <w:t>Отчётность договора (Приложение № 4) подаётся в АС «Фонд-М» не позднее чем за</w:t>
      </w:r>
    </w:p>
    <w:p>
      <w:r>
        <w:t>20 календарных дней до конца этапа:</w:t>
      </w:r>
    </w:p>
    <w:p>
      <w:pPr>
        <w:pStyle w:val="ListNumber"/>
      </w:pPr>
      <w:r>
        <w:t>1-й этап: промежуточный отчёт, акт, финансовый отчёт.</w:t>
      </w:r>
    </w:p>
    <w:p>
      <w:pPr>
        <w:pStyle w:val="ListNumber"/>
      </w:pPr>
      <w:r>
        <w:t>2-й этап: заключительный отчёт, акт, финансовый отчёт, пакет</w:t>
      </w:r>
    </w:p>
    <w:p>
      <w:r>
        <w:t xml:space="preserve">   предускорения, заявка на РИД, бизнес-план «Студенческий стартап» / «Старт»,</w:t>
      </w:r>
    </w:p>
    <w:p>
      <w:r>
        <w:t xml:space="preserve">   дорожная карта, отчёт о достижении результатов.</w:t>
      </w:r>
    </w:p>
    <w:p>
      <w:r>
        <w:t>Документы, из которых собирается отчётность: промежуточный отчёт опирается на</w:t>
      </w:r>
    </w:p>
    <w:p>
      <w:r>
        <w:t>разделы 2–4 отчёта о НИР (метод, параметры, процедура обучения); отчёт по</w:t>
      </w:r>
    </w:p>
    <w:p>
      <w:r>
        <w:t xml:space="preserve">экспериментальной части — на </w:t>
      </w:r>
      <w:r>
        <w:rPr>
          <w:rFonts w:ascii="Consolas" w:hAnsi="Consolas"/>
          <w:color w:val="224488"/>
          <w:sz w:val="19"/>
        </w:rPr>
        <w:t>reports/METRICS.json</w:t>
      </w:r>
      <w:r>
        <w:t xml:space="preserve"> и </w:t>
      </w:r>
      <w:r>
        <w:rPr>
          <w:rFonts w:ascii="Consolas" w:hAnsi="Consolas"/>
          <w:color w:val="224488"/>
          <w:sz w:val="19"/>
        </w:rPr>
        <w:t>reports/CONTRACT.json</w:t>
      </w:r>
      <w:r>
        <w:t>;</w:t>
      </w:r>
    </w:p>
    <w:p>
      <w:r>
        <w:t xml:space="preserve">заключительный отчёт о НИР — на </w:t>
      </w:r>
      <w:r>
        <w:rPr>
          <w:rFonts w:ascii="Consolas" w:hAnsi="Consolas"/>
          <w:color w:val="224488"/>
          <w:sz w:val="19"/>
        </w:rPr>
        <w:t>docs/ОТЧЁТ_о_НИР_шаблон.md</w:t>
      </w:r>
      <w:r>
        <w:t xml:space="preserve"> с приложениями</w:t>
      </w:r>
    </w:p>
    <w:p>
      <w:r>
        <w:t>(руководство пользователя, программа и методика приёмки, воспроизведение</w:t>
      </w:r>
    </w:p>
    <w:p>
      <w:r>
        <w:t>экспериментов).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3. Соответствие договорным этапам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Договорный этап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Внутренние этапы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Состояние</w:t>
            </w:r>
          </w:p>
        </w:tc>
      </w:tr>
      <w:tr>
        <w:tc>
          <w:tcPr>
            <w:tcW w:type="dxa" w:w="2880"/>
          </w:tcPr>
          <w:p>
            <w:r/>
            <w:r>
              <w:t>1-й (1–6 месяцы)</w:t>
            </w:r>
          </w:p>
        </w:tc>
        <w:tc>
          <w:tcPr>
            <w:tcW w:type="dxa" w:w="2880"/>
          </w:tcPr>
          <w:p>
            <w:r/>
            <w:r>
              <w:t>1–5</w:t>
            </w:r>
          </w:p>
        </w:tc>
        <w:tc>
          <w:tcPr>
            <w:tcW w:type="dxa" w:w="2880"/>
          </w:tcPr>
          <w:p>
            <w:r/>
            <w:r>
              <w:t>выполнен: метод реализован, обучен, откалиброван, оценён на отложенной части, выполнен пилот</w:t>
            </w:r>
          </w:p>
        </w:tc>
      </w:tr>
      <w:tr>
        <w:tc>
          <w:tcPr>
            <w:tcW w:type="dxa" w:w="2880"/>
          </w:tcPr>
          <w:p>
            <w:r/>
            <w:r>
              <w:t>2-й (7–12 месяцы)</w:t>
            </w:r>
          </w:p>
        </w:tc>
        <w:tc>
          <w:tcPr>
            <w:tcW w:type="dxa" w:w="2880"/>
          </w:tcPr>
          <w:p>
            <w:r/>
            <w:r>
              <w:t>6–8</w:t>
            </w:r>
          </w:p>
        </w:tc>
        <w:tc>
          <w:tcPr>
            <w:tcW w:type="dxa" w:w="2880"/>
          </w:tcPr>
          <w:p>
            <w:r/>
            <w:r>
              <w:t>выполняется: средство собрано и поставлено, документация подготовлена, ведётся оформление отчёта о НИР</w:t>
            </w:r>
          </w:p>
        </w:tc>
      </w:tr>
    </w:tbl>
    <w:p/>
    <w:p>
      <w:pPr>
        <w:pStyle w:val="Heading2"/>
      </w:pPr>
      <w:r>
        <w:t>4. Отражение фактически выполненной работы</w:t>
      </w:r>
    </w:p>
    <w:p>
      <w:r>
        <w:t>Этапы 1–7 выполнены и зафиксированы в репозитории: метод реализован, обучен и</w:t>
      </w:r>
    </w:p>
    <w:p>
      <w:r>
        <w:t>откалиброван; проведена оценка на отложенной части демонстрационного корпуса</w:t>
      </w:r>
    </w:p>
    <w:p>
      <w:r>
        <w:t>(token F1 0.958 при FPR 0.002 внутри демонстрационного корпуса; на корпусе</w:t>
      </w:r>
    </w:p>
    <w:p>
      <w:r>
        <w:t>другого генератора — 0.737 при FPR 0.145); выполнен пилот на реальной модели в режиме</w:t>
      </w:r>
    </w:p>
    <w:p>
      <w:r>
        <w:t>вычислений на CPU с парным анализом по слоям; программное средство собрано,</w:t>
      </w:r>
    </w:p>
    <w:p>
      <w:r>
        <w:t>проверено автоматическим смоук-тестом и опубликовано по постоянной ссылке;</w:t>
      </w:r>
    </w:p>
    <w:p>
      <w:r>
        <w:t>документация подготовлена (</w:t>
      </w:r>
      <w:r>
        <w:rPr>
          <w:rFonts w:ascii="Consolas" w:hAnsi="Consolas"/>
          <w:color w:val="224488"/>
          <w:sz w:val="19"/>
        </w:rPr>
        <w:t>docs/РУКОВОДСТВО.md</w:t>
      </w:r>
      <w:r>
        <w:t xml:space="preserve">, </w:t>
      </w:r>
      <w:r>
        <w:rPr>
          <w:rFonts w:ascii="Consolas" w:hAnsi="Consolas"/>
          <w:color w:val="224488"/>
          <w:sz w:val="19"/>
        </w:rPr>
        <w:t>PROGRESS.md</w:t>
      </w:r>
      <w:r>
        <w:t xml:space="preserve">, </w:t>
      </w:r>
      <w:r>
        <w:rPr>
          <w:rFonts w:ascii="Consolas" w:hAnsi="Consolas"/>
          <w:color w:val="224488"/>
          <w:sz w:val="19"/>
        </w:rPr>
        <w:t>ИТОГ.md</w:t>
      </w:r>
      <w:r>
        <w:t>).</w:t>
      </w:r>
    </w:p>
    <w:p>
      <w:r>
        <w:t>Этап 8 (оформление итогового отчёта) опирается на</w:t>
      </w:r>
    </w:p>
    <w:p>
      <w:r>
        <w:rPr>
          <w:rFonts w:ascii="Consolas" w:hAnsi="Consolas"/>
          <w:color w:val="224488"/>
          <w:sz w:val="19"/>
        </w:rPr>
        <w:t>docs/ОТЧЁТ_о_НИР_шаблон.md</w:t>
      </w:r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