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233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86 %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0.953,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0.731 при FPR 0.144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e00c62fe…a2dd2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, фрагмент с риском 0.775)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 (1257 КБ, подмена найдена)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реальной модели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устарели после исправления сопоставления подслов — перепроверка в CI): 48 ответов, 1384 токена, бутстрэп 5000. Контраст данных выдержан (копирование числа 1.000 против 0.000), но </w:t>
            </w:r>
            <w:r>
              <w:rPr>
                <w:b/>
              </w:rPr>
              <w:t>признаки не разделяют группы</w:t>
            </w:r>
            <w:r>
              <w:t xml:space="preserve">: AUC 0.50 на всех слоях, парные разницы неотличимы от нуля. Это честный отрицательный результат, а не сбой: он показывает, что подмена одного числа не отражается в сигналах модели такого размера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0.918 / </w:t>
            </w:r>
            <w:r>
              <w:rPr>
                <w:b/>
              </w:rPr>
              <w:t>0.953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0.951,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0.731, FPR 0.144. Падение на 0.223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реальной модели (rugpt3small, CPU):</w:t>
      </w:r>
      <w:r>
        <w:t xml:space="preserve"> 24 контрастные пары (48</w:t>
      </w:r>
    </w:p>
    <w:p>
      <w:r>
        <w:t>ответов), 1384 токена (устарело: прогон до исправления сопоставления подслов),</w:t>
      </w:r>
    </w:p>
    <w:p>
      <w:r>
        <w:t>бутстрэп 5000 итераций.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Результат: AUC 0.492–0.506 (устарело: до исправления сопоставления</w:t>
      </w:r>
    </w:p>
    <w:p>
      <w:r>
        <w:t>подслов; перепроверка в CI) по всем признакам и слоям,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233 тестов проходят, покрытие 86 %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реальной модели</w:t>
      </w:r>
      <w:r>
        <w:t xml:space="preserve">: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сигнала нет</w:t>
      </w:r>
      <w:r>
        <w:t xml:space="preserve"> (AUC 0.50 — устарело, разницы неотличимы от</w:t>
      </w:r>
    </w:p>
    <w:p>
      <w:r>
        <w:t xml:space="preserve">   нуля) — это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и пилота указано прямо.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