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Отчёт о научно-исследовательской работе</w:t>
      </w:r>
    </w:p>
    <w:p>
      <w:r>
        <w:rPr>
          <w:b/>
        </w:rPr>
        <w:t>Тема:</w:t>
      </w:r>
      <w:r>
        <w:t xml:space="preserve"> метод и программное средство проверки достоверности текста по</w:t>
      </w:r>
    </w:p>
    <w:p>
      <w:r>
        <w:t>документу-источнику на основе анализа внимания языковой модели (SpanVerify).</w:t>
      </w:r>
    </w:p>
    <w:p>
      <w:r>
        <w:rPr>
          <w:b/>
        </w:rPr>
        <w:t>Исполнитель:</w:t>
      </w:r>
      <w:r>
        <w:t xml:space="preserve"> заполняется. </w:t>
      </w:r>
      <w:r>
        <w:rPr>
          <w:b/>
        </w:rPr>
        <w:t>Срок выполнения:</w:t>
      </w:r>
      <w:r>
        <w:t xml:space="preserve"> заполняется.</w:t>
      </w:r>
    </w:p>
    <w:p>
      <w:r>
        <w:rPr>
          <w:b/>
        </w:rPr>
        <w:t>Объём работы:</w:t>
      </w:r>
      <w:r>
        <w:t xml:space="preserve"> этапы 1–7 календарного плана</w:t>
      </w:r>
    </w:p>
    <w:p>
      <w:r>
        <w:t>(</w:t>
      </w:r>
      <w:r>
        <w:rPr>
          <w:rFonts w:ascii="Consolas" w:hAnsi="Consolas"/>
          <w:color w:val="224488"/>
          <w:sz w:val="19"/>
        </w:rPr>
        <w:t>docs/ТЗ_и_календарный_план.md</w:t>
      </w:r>
      <w:r>
        <w:t>).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Введение</w:t>
      </w:r>
    </w:p>
    <w:p>
      <w:r>
        <w:t>Работа посвящена проверке достоверности текста относительно</w:t>
      </w:r>
    </w:p>
    <w:p>
      <w:r>
        <w:t>документа-источника. Практическая потребность: ответы, подготовленные по</w:t>
      </w:r>
    </w:p>
    <w:p>
      <w:r>
        <w:t>документам (справки, выписки из регламентов, обобщения инструкций), могут</w:t>
      </w:r>
    </w:p>
    <w:p>
      <w:r>
        <w:t>содержать числа, сроки и ссылки, которых в источнике нет, при этом внешне текст</w:t>
      </w:r>
    </w:p>
    <w:p>
      <w:r>
        <w:t>выглядит достоверным. Ручная проверка несистематична, а существующие средства</w:t>
      </w:r>
    </w:p>
    <w:p>
      <w:r>
        <w:t>либо оценивают «похожесть на машинный текст» без обращения к документу, либо</w:t>
      </w:r>
    </w:p>
    <w:p>
      <w:r>
        <w:t>требуют обращения к внешним базам знаний.</w:t>
      </w:r>
    </w:p>
    <w:p>
      <w:pPr>
        <w:pStyle w:val="Heading2"/>
      </w:pPr>
      <w:r>
        <w:t>2. Постановка задачи</w:t>
      </w:r>
    </w:p>
    <w:p>
      <w:r>
        <w:t>Дано: документ (контекст) $C$ и ответ $A$. Требуется:</w:t>
      </w:r>
    </w:p>
    <w:p>
      <w:pPr>
        <w:pStyle w:val="ListNumber"/>
      </w:pPr>
      <w:r>
        <w:t>получить по каждому токену ответа оценку риска недостоверности;</w:t>
      </w:r>
    </w:p>
    <w:p>
      <w:pPr>
        <w:pStyle w:val="ListNumber"/>
      </w:pPr>
      <w:r>
        <w:t>выделить связные фрагменты ответа, не подтверждённые документом, и указать</w:t>
      </w:r>
    </w:p>
    <w:p>
      <w:r>
        <w:t xml:space="preserve">   их метки;</w:t>
      </w:r>
    </w:p>
    <w:p>
      <w:pPr>
        <w:pStyle w:val="ListNumber"/>
      </w:pPr>
      <w:r>
        <w:t>получить оценку достоверности ответа в целом с порогом, обеспечивающим</w:t>
      </w:r>
    </w:p>
    <w:p>
      <w:r>
        <w:t xml:space="preserve">   заданный уровень ложных срабатываний.</w:t>
      </w:r>
    </w:p>
    <w:p>
      <w:r>
        <w:t>Ограничение: обработка выполняется локально, без внешних сервисов.</w:t>
      </w:r>
    </w:p>
    <w:p>
      <w:pPr>
        <w:pStyle w:val="Heading2"/>
      </w:pPr>
      <w:r>
        <w:t>3. Обзор подходов</w:t>
      </w:r>
    </w:p>
    <w:p>
      <w:r>
        <w:t>Рассматриваются три группы методов: (а) определение «написан ли текст моделью»</w:t>
      </w:r>
    </w:p>
    <w:p>
      <w:r>
        <w:t>без обращения к источнику; (б) проверка опоры текста на источник через внешние</w:t>
      </w:r>
    </w:p>
    <w:p>
      <w:r>
        <w:t>хранилища фактов; (в) локальные методы на основе внутренних сигналов языковой</w:t>
      </w:r>
    </w:p>
    <w:p>
      <w:r>
        <w:t>модели (внимание, представления). Работа развивает третью группу: она не требует</w:t>
      </w:r>
    </w:p>
    <w:p>
      <w:r>
        <w:t>внешних баз знаний и позволяет указать конкретные неподтверждённые фрагменты.</w:t>
      </w:r>
    </w:p>
    <w:p>
      <w:pPr>
        <w:pStyle w:val="Heading2"/>
      </w:pPr>
      <w:r>
        <w:t>4. Метод</w:t>
      </w:r>
    </w:p>
    <w:p>
      <w:pPr>
        <w:pStyle w:val="Heading3"/>
      </w:pPr>
      <w:r>
        <w:t>4.1. Признаки (по токенам ответа, диапазон [0, 1])</w:t>
      </w:r>
    </w:p>
    <w:p>
      <w:pPr>
        <w:pStyle w:val="ListNumber"/>
      </w:pPr>
      <w:r>
        <w:rPr>
          <w:b/>
        </w:rPr>
        <w:t>Нормированная энтропия внимания</w:t>
      </w:r>
      <w:r>
        <w:t xml:space="preserve"> выбранного слоя — мера размытости</w:t>
      </w:r>
    </w:p>
    <w:p>
      <w:r>
        <w:t xml:space="preserve">   распределения внимания.</w:t>
      </w:r>
    </w:p>
    <w:p>
      <w:pPr>
        <w:pStyle w:val="ListNumber"/>
      </w:pPr>
      <w:r>
        <w:rPr>
          <w:b/>
        </w:rPr>
        <w:t>Доля массы внимания на документ</w:t>
      </w:r>
      <w:r>
        <w:t xml:space="preserve"> — суммарное внимание токена к позициям</w:t>
      </w:r>
    </w:p>
    <w:p>
      <w:r>
        <w:t xml:space="preserve">   контекста. Входит в риск с </w:t>
      </w:r>
      <w:r>
        <w:rPr>
          <w:b/>
        </w:rPr>
        <w:t>отрицательным</w:t>
      </w:r>
      <w:r>
        <w:t xml:space="preserve"> знаком: больше опоры — меньше</w:t>
      </w:r>
    </w:p>
    <w:p>
      <w:r>
        <w:t xml:space="preserve">   риска.</w:t>
      </w:r>
    </w:p>
    <w:p>
      <w:pPr>
        <w:pStyle w:val="ListNumber"/>
      </w:pPr>
      <w:r>
        <w:rPr>
          <w:b/>
        </w:rPr>
        <w:t>Плотность близости представлений</w:t>
      </w:r>
      <w:r>
        <w:t xml:space="preserve"> — среднее косинусное сходство</w:t>
      </w:r>
    </w:p>
    <w:p>
      <w:r>
        <w:t xml:space="preserve">   представления токена с $k$ ближайшими токенами контекста (базовый уровень без</w:t>
      </w:r>
    </w:p>
    <w:p>
      <w:r>
        <w:t xml:space="preserve">   использования внимания).</w:t>
      </w:r>
    </w:p>
    <w:p>
      <w:pPr>
        <w:pStyle w:val="Heading3"/>
      </w:pPr>
      <w:r>
        <w:t>4.2. Агрегация</w:t>
      </w:r>
    </w:p>
    <w:p>
      <w:r>
        <w:t>$r = w_1 hat{H} + w_2 (1 - hat{m}) + w_3 hat{d}$; веса подбираются перебором по</w:t>
      </w:r>
    </w:p>
    <w:p>
      <w:r>
        <w:t>сетке с суммой 1 по AUC на обучающей части. Далее: центрированное сглаживание</w:t>
      </w:r>
    </w:p>
    <w:p>
      <w:r>
        <w:t>окном 3 с весом центра 0.6 (сохраняет узкие подмены); порог маски</w:t>
      </w:r>
    </w:p>
    <w:p>
      <w:r>
        <w:t>$T = mu + z cdot sigma$, ограниченный снизу и сверху; склейка соседних</w:t>
      </w:r>
    </w:p>
    <w:p>
      <w:r>
        <w:t>помеченных токенов; расширение до границ предложения; метка</w:t>
      </w:r>
    </w:p>
    <w:p>
      <w:r>
        <w:rPr>
          <w:rFonts w:ascii="Consolas" w:hAnsi="Consolas"/>
          <w:color w:val="224488"/>
          <w:sz w:val="19"/>
        </w:rPr>
        <w:t>likely_hallucination</w:t>
      </w:r>
      <w:r>
        <w:t xml:space="preserve"> при риске ≥ 0.75, иначе </w:t>
      </w:r>
      <w:r>
        <w:rPr>
          <w:rFonts w:ascii="Consolas" w:hAnsi="Consolas"/>
          <w:color w:val="224488"/>
          <w:sz w:val="19"/>
        </w:rPr>
        <w:t>doubtful</w:t>
      </w:r>
      <w:r>
        <w:t>.</w:t>
      </w:r>
    </w:p>
    <w:p>
      <w:r>
        <w:t>Несодержательные токены (пунктуация и короткие служебные слова) исключаются из</w:t>
      </w:r>
    </w:p>
    <w:p>
      <w:r>
        <w:t>оценки риска и из метрик: их нельзя «выдумать», и они не должны размывать</w:t>
      </w:r>
    </w:p>
    <w:p>
      <w:r>
        <w:t>соседние пики.</w:t>
      </w:r>
    </w:p>
    <w:p>
      <w:pPr>
        <w:pStyle w:val="Heading3"/>
      </w:pPr>
      <w:r>
        <w:t>4.3. Оценка ответа, калибровка, обучение</w:t>
      </w:r>
    </w:p>
    <w:p>
      <w:r>
        <w:t>Оценка ответа $s = 0.5 cdot overline{r} + 0.5 cdot overline{r}_{top20%}$.</w:t>
      </w:r>
    </w:p>
    <w:p>
      <w:r>
        <w:t>Калибровка — изотоническая регрессия (PAVA). Порог решения — по целевому уровню</w:t>
      </w:r>
    </w:p>
    <w:p>
      <w:r>
        <w:t xml:space="preserve">ложных срабатываний </w:t>
      </w:r>
      <w:r>
        <w:rPr>
          <w:b/>
        </w:rPr>
        <w:t>на обучающей части</w:t>
      </w:r>
      <w:r>
        <w:t>; тестовая часть не используется для</w:t>
      </w:r>
    </w:p>
    <w:p>
      <w:r>
        <w:t>подбора порога. Дополнительно обучается решающая голова (логистическая регрессия</w:t>
      </w:r>
    </w:p>
    <w:p>
      <w:r>
        <w:t>по признакам токена с 5-кратной кросс-валидацией) и применяется только в том</w:t>
      </w:r>
    </w:p>
    <w:p>
      <w:r>
        <w:t>случае, если превосходит пороговое правило по F1 при том же ограничении на FPR.</w:t>
      </w:r>
    </w:p>
    <w:p>
      <w:pPr>
        <w:pStyle w:val="Heading2"/>
      </w:pPr>
      <w:r>
        <w:t>5. Программное средство</w:t>
      </w:r>
    </w:p>
    <w:p>
      <w:pPr>
        <w:pStyle w:val="ListBullet"/>
      </w:pPr>
      <w:r>
        <w:t>Ядро — стандартная библиотека Python 3.10+ (без обязательных зависимостей).</w:t>
      </w:r>
    </w:p>
    <w:p>
      <w:pPr>
        <w:pStyle w:val="ListBullet"/>
      </w:pPr>
      <w:r>
        <w:t xml:space="preserve">Режимы: </w:t>
      </w:r>
      <w:r>
        <w:rPr>
          <w:rFonts w:ascii="Consolas" w:hAnsi="Consolas"/>
          <w:color w:val="224488"/>
          <w:sz w:val="19"/>
        </w:rPr>
        <w:t>demo</w:t>
      </w:r>
      <w:r>
        <w:t xml:space="preserve"> (лексические суррогаты признаков) и </w:t>
      </w:r>
      <w:r>
        <w:rPr>
          <w:rFonts w:ascii="Consolas" w:hAnsi="Consolas"/>
          <w:color w:val="224488"/>
          <w:sz w:val="19"/>
        </w:rPr>
        <w:t>hf</w:t>
      </w:r>
      <w:r>
        <w:t xml:space="preserve"> (реальная модель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torch</w:t>
      </w:r>
      <w:r>
        <w:t xml:space="preserve"> + </w:t>
      </w:r>
      <w:r>
        <w:rPr>
          <w:rFonts w:ascii="Consolas" w:hAnsi="Consolas"/>
          <w:color w:val="224488"/>
          <w:sz w:val="19"/>
        </w:rPr>
        <w:t>transformers</w:t>
      </w:r>
      <w:r>
        <w:t>).</w:t>
      </w:r>
    </w:p>
    <w:p>
      <w:pPr>
        <w:pStyle w:val="ListBullet"/>
      </w:pPr>
      <w:r>
        <w:t>Интерфейсы: HTTP (</w:t>
      </w:r>
      <w:r>
        <w:rPr>
          <w:rFonts w:ascii="Consolas" w:hAnsi="Consolas"/>
          <w:color w:val="224488"/>
          <w:sz w:val="19"/>
        </w:rPr>
        <w:t>POST /v1/verify</w:t>
      </w:r>
      <w:r>
        <w:t xml:space="preserve">, </w:t>
      </w:r>
      <w:r>
        <w:rPr>
          <w:rFonts w:ascii="Consolas" w:hAnsi="Consolas"/>
          <w:color w:val="224488"/>
          <w:sz w:val="19"/>
        </w:rPr>
        <w:t>GET /health|/v1/config|/v1/model</w:t>
      </w:r>
      <w:r>
        <w:t xml:space="preserve">, </w:t>
      </w:r>
      <w:r>
        <w:rPr>
          <w:rFonts w:ascii="Consolas" w:hAnsi="Consolas"/>
          <w:color w:val="224488"/>
          <w:sz w:val="19"/>
        </w:rPr>
        <w:t>/</w:t>
      </w:r>
      <w:r>
        <w:t>),</w:t>
      </w:r>
    </w:p>
    <w:p>
      <w:r>
        <w:t xml:space="preserve">  командная строка (</w:t>
      </w:r>
      <w:r>
        <w:rPr>
          <w:rFonts w:ascii="Consolas" w:hAnsi="Consolas"/>
          <w:color w:val="224488"/>
          <w:sz w:val="19"/>
        </w:rPr>
        <w:t>verify</w:t>
      </w:r>
      <w:r>
        <w:t xml:space="preserve">, </w:t>
      </w:r>
      <w:r>
        <w:rPr>
          <w:rFonts w:ascii="Consolas" w:hAnsi="Consolas"/>
          <w:color w:val="224488"/>
          <w:sz w:val="19"/>
        </w:rPr>
        <w:t>train</w:t>
      </w:r>
      <w:r>
        <w:t xml:space="preserve">, </w:t>
      </w:r>
      <w:r>
        <w:rPr>
          <w:rFonts w:ascii="Consolas" w:hAnsi="Consolas"/>
          <w:color w:val="224488"/>
          <w:sz w:val="19"/>
        </w:rPr>
        <w:t>calibrate</w:t>
      </w:r>
      <w:r>
        <w:t xml:space="preserve">, </w:t>
      </w:r>
      <w:r>
        <w:rPr>
          <w:rFonts w:ascii="Consolas" w:hAnsi="Consolas"/>
          <w:color w:val="224488"/>
          <w:sz w:val="19"/>
        </w:rPr>
        <w:t>evaluate</w:t>
      </w:r>
      <w:r>
        <w:t xml:space="preserve">, </w:t>
      </w:r>
      <w:r>
        <w:rPr>
          <w:rFonts w:ascii="Consolas" w:hAnsi="Consolas"/>
          <w:color w:val="224488"/>
          <w:sz w:val="19"/>
        </w:rPr>
        <w:t>selftest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server</w:t>
      </w:r>
      <w:r>
        <w:t xml:space="preserve">, </w:t>
      </w:r>
      <w:r>
        <w:rPr>
          <w:rFonts w:ascii="Consolas" w:hAnsi="Consolas"/>
          <w:color w:val="224488"/>
          <w:sz w:val="19"/>
        </w:rPr>
        <w:t>demo</w:t>
      </w:r>
      <w:r>
        <w:t xml:space="preserve">, </w:t>
      </w:r>
      <w:r>
        <w:rPr>
          <w:rFonts w:ascii="Consolas" w:hAnsi="Consolas"/>
          <w:color w:val="224488"/>
          <w:sz w:val="19"/>
        </w:rPr>
        <w:t>analyze</w:t>
      </w:r>
      <w:r>
        <w:t>), встроенная веб-страница.</w:t>
      </w:r>
    </w:p>
    <w:p>
      <w:pPr>
        <w:pStyle w:val="ListBullet"/>
      </w:pPr>
      <w:r>
        <w:t>Приложение для Windows — один файл; параметры метода упакованы внутрь, при</w:t>
      </w:r>
    </w:p>
    <w:p>
      <w:r>
        <w:t xml:space="preserve">  запуске без папки </w:t>
      </w:r>
      <w:r>
        <w:rPr>
          <w:rFonts w:ascii="Consolas" w:hAnsi="Consolas"/>
          <w:color w:val="224488"/>
          <w:sz w:val="19"/>
        </w:rPr>
        <w:t>config/</w:t>
      </w:r>
      <w:r>
        <w:t xml:space="preserve"> используются встроенные (проверяется в CI).</w:t>
      </w:r>
    </w:p>
    <w:p>
      <w:pPr>
        <w:pStyle w:val="Heading2"/>
      </w:pPr>
      <w:r>
        <w:t>6. Данные, метрики и процедура оценки</w:t>
      </w:r>
    </w:p>
    <w:p>
      <w:pPr>
        <w:pStyle w:val="ListBullet"/>
      </w:pPr>
      <w:r>
        <w:rPr>
          <w:b/>
        </w:rPr>
        <w:t>Демонстрационный набор:</w:t>
      </w:r>
      <w:r>
        <w:t xml:space="preserve"> 240 пар «документ — ответ» трёх типов</w:t>
      </w:r>
    </w:p>
    <w:p>
      <w:r>
        <w:t xml:space="preserve">  (подтверждённый ответ, подмена числового значения, выдуманное утверждение),</w:t>
      </w:r>
    </w:p>
    <w:p>
      <w:r>
        <w:t xml:space="preserve">  разметка по символам ответа; разделение 70/30 по парам (seed 42).</w:t>
      </w:r>
    </w:p>
    <w:p>
      <w:r>
        <w:t xml:space="preserve">  Набор </w:t>
      </w:r>
      <w:r>
        <w:rPr>
          <w:b/>
        </w:rPr>
        <w:t>синтетический</w:t>
      </w:r>
      <w:r>
        <w:t xml:space="preserve"> — это ограничивает выводы.</w:t>
      </w:r>
    </w:p>
    <w:p>
      <w:pPr>
        <w:pStyle w:val="ListBullet"/>
      </w:pPr>
      <w:r>
        <w:rPr>
          <w:b/>
        </w:rPr>
        <w:t>Метрики:</w:t>
      </w:r>
      <w:r>
        <w:t xml:space="preserve"> precision, recall, F1 по токенам, FPR, AUC; полнота накрытия</w:t>
      </w:r>
    </w:p>
    <w:p>
      <w:r>
        <w:t xml:space="preserve">  фрагментов и F1 по фрагментам при расширенной разметке; метрики уровня ответа.</w:t>
      </w:r>
    </w:p>
    <w:p>
      <w:pPr>
        <w:pStyle w:val="ListBullet"/>
      </w:pPr>
      <w:r>
        <w:rPr>
          <w:b/>
        </w:rPr>
        <w:t>Пилот:</w:t>
      </w:r>
      <w:r>
        <w:t xml:space="preserve"> контрастные пары «с опорой»/«без опоры»; в каждой паре ответы</w:t>
      </w:r>
    </w:p>
    <w:p>
      <w:r>
        <w:t xml:space="preserve">  совпадают по шаблону и отличаются </w:t>
      </w:r>
      <w:r>
        <w:rPr>
          <w:b/>
        </w:rPr>
        <w:t>одним числом</w:t>
      </w:r>
      <w:r>
        <w:t xml:space="preserve"> (трудный случай). Признаки</w:t>
      </w:r>
    </w:p>
    <w:p>
      <w:r>
        <w:t xml:space="preserve">  считаются реальной моделью </w:t>
      </w:r>
      <w:r>
        <w:rPr>
          <w:rFonts w:ascii="Consolas" w:hAnsi="Consolas"/>
          <w:color w:val="224488"/>
          <w:sz w:val="19"/>
        </w:rPr>
        <w:t>ai-forever/rugpt3small_based_on_gpt2</w:t>
      </w:r>
      <w:r>
        <w:t xml:space="preserve"> на CPU;</w:t>
      </w:r>
    </w:p>
    <w:p>
      <w:r>
        <w:t xml:space="preserve">  анализ — по слоям (</w:t>
      </w:r>
      <w:r>
        <w:rPr>
          <w:rFonts w:ascii="Consolas" w:hAnsi="Consolas"/>
          <w:color w:val="224488"/>
          <w:sz w:val="19"/>
        </w:rPr>
        <w:t>first</w:t>
      </w:r>
      <w:r>
        <w:t xml:space="preserve">, </w:t>
      </w:r>
      <w:r>
        <w:rPr>
          <w:rFonts w:ascii="Consolas" w:hAnsi="Consolas"/>
          <w:color w:val="224488"/>
          <w:sz w:val="19"/>
        </w:rPr>
        <w:t>middle</w:t>
      </w:r>
      <w:r>
        <w:t xml:space="preserve">, </w:t>
      </w:r>
      <w:r>
        <w:rPr>
          <w:rFonts w:ascii="Consolas" w:hAnsi="Consolas"/>
          <w:color w:val="224488"/>
          <w:sz w:val="19"/>
        </w:rPr>
        <w:t>-4</w:t>
      </w:r>
      <w:r>
        <w:t xml:space="preserve">, </w:t>
      </w:r>
      <w:r>
        <w:rPr>
          <w:rFonts w:ascii="Consolas" w:hAnsi="Consolas"/>
          <w:color w:val="224488"/>
          <w:sz w:val="19"/>
        </w:rPr>
        <w:t>last</w:t>
      </w:r>
      <w:r>
        <w:t>) с доверительными</w:t>
      </w:r>
    </w:p>
    <w:p>
      <w:r>
        <w:t xml:space="preserve">  интервалами методом бутстрэпа (5000 итераций) и </w:t>
      </w:r>
      <w:r>
        <w:rPr>
          <w:b/>
        </w:rPr>
        <w:t>парным</w:t>
      </w:r>
      <w:r>
        <w:t xml:space="preserve"> сравнением</w:t>
      </w:r>
    </w:p>
    <w:p>
      <w:r>
        <w:t xml:space="preserve">  (разница внутри пары, что исключает вариативность жанра).</w:t>
      </w:r>
    </w:p>
    <w:p>
      <w:pPr>
        <w:pStyle w:val="Heading2"/>
      </w:pPr>
      <w:r>
        <w:t>7. Результаты</w:t>
      </w:r>
    </w:p>
    <w:p>
      <w:pPr>
        <w:pStyle w:val="Heading3"/>
      </w:pPr>
      <w:r>
        <w:t>7.1. Оценка на отложенной части демонстрационного набора</w:t>
      </w:r>
    </w:p>
    <w:p>
      <w:r>
        <w:t>Все числа получены тем же кодом, который обслуживает HTTP-интерфейс (сквозная</w:t>
      </w:r>
    </w:p>
    <w:p>
      <w:r>
        <w:t xml:space="preserve">проверка через </w:t>
      </w:r>
      <w:r>
        <w:rPr>
          <w:rFonts w:ascii="Consolas" w:hAnsi="Consolas"/>
          <w:color w:val="224488"/>
          <w:sz w:val="19"/>
        </w:rPr>
        <w:t>verify()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Метрика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Отложенная часть, 72 пары (</w:t>
            </w:r>
            <w:r>
              <w:rPr>
                <w:rFonts w:ascii="Consolas" w:hAnsi="Consolas"/>
                <w:b/>
                <w:color w:val="224488"/>
                <w:sz w:val="19"/>
              </w:rPr>
              <w:t>train</w:t>
            </w:r>
            <w:r>
              <w:rPr>
                <w:b/>
              </w:rPr>
              <w:t>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Весь корпус, 240 пар (</w:t>
            </w:r>
            <w:r>
              <w:rPr>
                <w:rFonts w:ascii="Consolas" w:hAnsi="Consolas"/>
                <w:b/>
                <w:color w:val="224488"/>
                <w:sz w:val="19"/>
              </w:rPr>
              <w:t>evaluate</w:t>
            </w:r>
            <w:r>
              <w:rPr>
                <w:b/>
              </w:rPr>
              <w:t>)</w:t>
            </w:r>
          </w:p>
        </w:tc>
      </w:tr>
      <w:tr>
        <w:tc>
          <w:tcPr>
            <w:tcW w:type="dxa" w:w="2880"/>
          </w:tcPr>
          <w:p>
            <w:r/>
            <w:r>
              <w:t>token precision</w:t>
            </w:r>
          </w:p>
        </w:tc>
        <w:tc>
          <w:tcPr>
            <w:tcW w:type="dxa" w:w="2880"/>
          </w:tcPr>
          <w:p>
            <w:r/>
            <w:r>
              <w:t>0.991</w:t>
            </w:r>
          </w:p>
        </w:tc>
        <w:tc>
          <w:tcPr>
            <w:tcW w:type="dxa" w:w="2880"/>
          </w:tcPr>
          <w:p>
            <w:r/>
            <w:r>
              <w:t>0.976</w:t>
            </w:r>
          </w:p>
        </w:tc>
      </w:tr>
      <w:tr>
        <w:tc>
          <w:tcPr>
            <w:tcW w:type="dxa" w:w="2880"/>
          </w:tcPr>
          <w:p>
            <w:r/>
            <w:r>
              <w:t>token recall</w:t>
            </w:r>
          </w:p>
        </w:tc>
        <w:tc>
          <w:tcPr>
            <w:tcW w:type="dxa" w:w="2880"/>
          </w:tcPr>
          <w:p>
            <w:r/>
            <w:r>
              <w:t>0.918</w:t>
            </w:r>
          </w:p>
        </w:tc>
        <w:tc>
          <w:tcPr>
            <w:tcW w:type="dxa" w:w="2880"/>
          </w:tcPr>
          <w:p>
            <w:r/>
            <w:r>
              <w:t>0.928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token F1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0.953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0.951</w:t>
            </w:r>
          </w:p>
        </w:tc>
      </w:tr>
      <w:tr>
        <w:tc>
          <w:tcPr>
            <w:tcW w:type="dxa" w:w="2880"/>
          </w:tcPr>
          <w:p>
            <w:r/>
            <w:r>
              <w:t>FPR по токенам</w:t>
            </w:r>
          </w:p>
        </w:tc>
        <w:tc>
          <w:tcPr>
            <w:tcW w:type="dxa" w:w="2880"/>
          </w:tcPr>
          <w:p>
            <w:r/>
            <w:r>
              <w:t>0.002</w:t>
            </w:r>
          </w:p>
        </w:tc>
        <w:tc>
          <w:tcPr>
            <w:tcW w:type="dxa" w:w="2880"/>
          </w:tcPr>
          <w:p>
            <w:r/>
            <w:r>
              <w:t>0.005</w:t>
            </w:r>
          </w:p>
        </w:tc>
      </w:tr>
      <w:tr>
        <w:tc>
          <w:tcPr>
            <w:tcW w:type="dxa" w:w="2880"/>
          </w:tcPr>
          <w:p>
            <w:r/>
            <w:r>
              <w:t>AUC по токенам</w:t>
            </w:r>
          </w:p>
        </w:tc>
        <w:tc>
          <w:tcPr>
            <w:tcW w:type="dxa" w:w="2880"/>
          </w:tcPr>
          <w:p>
            <w:r/>
            <w:r>
              <w:t>0.996</w:t>
            </w:r>
          </w:p>
        </w:tc>
        <w:tc>
          <w:tcPr>
            <w:tcW w:type="dxa" w:w="2880"/>
          </w:tcPr>
          <w:p>
            <w:r/>
            <w:r>
              <w:t>0.997</w:t>
            </w:r>
          </w:p>
        </w:tc>
      </w:tr>
      <w:tr>
        <w:tc>
          <w:tcPr>
            <w:tcW w:type="dxa" w:w="2880"/>
          </w:tcPr>
          <w:p>
            <w:r/>
            <w:r>
              <w:t>Ответы: precision / recall / F1 / FPR</w:t>
            </w:r>
          </w:p>
        </w:tc>
        <w:tc>
          <w:tcPr>
            <w:tcW w:type="dxa" w:w="2880"/>
          </w:tcPr>
          <w:p>
            <w:r/>
            <w:r>
              <w:t>1.000 / 1.000 / 1.000 / 0.000</w:t>
            </w:r>
          </w:p>
        </w:tc>
        <w:tc>
          <w:tcPr>
            <w:tcW w:type="dxa" w:w="2880"/>
          </w:tcPr>
          <w:p>
            <w:r/>
            <w:r>
              <w:t>1.000 / 0.992 / 0.996 / 0.000</w:t>
            </w:r>
          </w:p>
        </w:tc>
      </w:tr>
      <w:tr>
        <w:tc>
          <w:tcPr>
            <w:tcW w:type="dxa" w:w="2880"/>
          </w:tcPr>
          <w:p>
            <w:r/>
            <w:r>
              <w:t>Фрагменты: полнота накрытия разметки</w:t>
            </w:r>
          </w:p>
        </w:tc>
        <w:tc>
          <w:tcPr>
            <w:tcW w:type="dxa" w:w="2880"/>
          </w:tcPr>
          <w:p>
            <w:r/>
            <w:r>
              <w:t>1.000</w:t>
            </w:r>
          </w:p>
        </w:tc>
        <w:tc>
          <w:tcPr>
            <w:tcW w:type="dxa" w:w="2880"/>
          </w:tcPr>
          <w:p>
            <w:r/>
            <w:r>
              <w:t>1.000</w:t>
            </w:r>
          </w:p>
        </w:tc>
      </w:tr>
      <w:tr>
        <w:tc>
          <w:tcPr>
            <w:tcW w:type="dxa" w:w="2880"/>
          </w:tcPr>
          <w:p>
            <w:r/>
            <w:r>
              <w:t>Фрагменты: F1 при расширении разметки тем же правилом</w:t>
            </w:r>
          </w:p>
        </w:tc>
        <w:tc>
          <w:tcPr>
            <w:tcW w:type="dxa" w:w="2880"/>
          </w:tcPr>
          <w:p>
            <w:r/>
            <w:r>
              <w:t>1.000</w:t>
            </w:r>
          </w:p>
        </w:tc>
        <w:tc>
          <w:tcPr>
            <w:tcW w:type="dxa" w:w="2880"/>
          </w:tcPr>
          <w:p>
            <w:r/>
            <w:r>
              <w:t>1.000</w:t>
            </w:r>
          </w:p>
        </w:tc>
      </w:tr>
      <w:tr>
        <w:tc>
          <w:tcPr>
            <w:tcW w:type="dxa" w:w="2880"/>
          </w:tcPr>
          <w:p>
            <w:r/>
            <w:r>
              <w:t>Фрагменты: строгий F1 по узкой разметке (IoU ≥ 0.5)</w:t>
            </w:r>
          </w:p>
        </w:tc>
        <w:tc>
          <w:tcPr>
            <w:tcW w:type="dxa" w:w="2880"/>
          </w:tcPr>
          <w:p>
            <w:r/>
            <w:r>
              <w:t>0.283</w:t>
            </w:r>
          </w:p>
        </w:tc>
        <w:tc>
          <w:tcPr>
            <w:tcW w:type="dxa" w:w="2880"/>
          </w:tcPr>
          <w:p>
            <w:r/>
            <w:r>
              <w:t>0.315</w:t>
            </w:r>
          </w:p>
        </w:tc>
      </w:tr>
    </w:tbl>
    <w:p/>
    <w:p>
      <w:r>
        <w:t>Кросс-корпусный тест (обучение на демонстрационном корпусе, оценка на корпусе</w:t>
      </w:r>
    </w:p>
    <w:p>
      <w:r>
        <w:t>другого генератора): token F1 0.731 при FPR 0.144 — на чужом генераторе критерий</w:t>
      </w:r>
    </w:p>
    <w:p>
      <w:r>
        <w:t xml:space="preserve">F1 ≥ 0.90 при FPR ≤ 0.10 не выполняется. Числа: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и</w:t>
      </w:r>
    </w:p>
    <w:p>
      <w:r>
        <w:rPr>
          <w:rFonts w:ascii="Consolas" w:hAnsi="Consolas"/>
          <w:color w:val="224488"/>
          <w:sz w:val="19"/>
        </w:rPr>
        <w:t>reports/cross_corpus.json</w:t>
      </w:r>
      <w:r>
        <w:t>.</w:t>
      </w:r>
    </w:p>
    <w:p>
      <w:r>
        <w:t>Критерий приёмки (token F1 ≥ 0.90 при FPR ≤ 0.10) выполнен. Низкий строгий F1 по</w:t>
      </w:r>
    </w:p>
    <w:p>
      <w:r>
        <w:t>фрагментам объясняется расширением до границ предложения: ширина найденного</w:t>
      </w:r>
    </w:p>
    <w:p>
      <w:r>
        <w:t>фрагмента в среднем в 24 раза больше размеченного числа. Поэтому рядом приводятся</w:t>
      </w:r>
    </w:p>
    <w:p>
      <w:r>
        <w:t>полнота накрытия и F1 при расширенной разметке — метрики, отражающие</w:t>
      </w:r>
    </w:p>
    <w:p>
      <w:r>
        <w:t>пользовательскую задачу «показать фрагмент для перечитки».</w:t>
      </w:r>
    </w:p>
    <w:p>
      <w:r>
        <w:t xml:space="preserve">Обученные параметры: веса признаков </w:t>
      </w:r>
      <w:r>
        <w:rPr>
          <w:rFonts w:ascii="Consolas" w:hAnsi="Consolas"/>
          <w:color w:val="224488"/>
          <w:sz w:val="19"/>
        </w:rPr>
        <w:t>attention_entropy = 0.1</w:t>
      </w:r>
      <w:r>
        <w:t>,</w:t>
      </w:r>
    </w:p>
    <w:p>
      <w:r>
        <w:rPr>
          <w:rFonts w:ascii="Consolas" w:hAnsi="Consolas"/>
          <w:color w:val="224488"/>
          <w:sz w:val="19"/>
        </w:rPr>
        <w:t>ctx_attention_mass = 0.9</w:t>
      </w:r>
      <w:r>
        <w:t xml:space="preserve">, </w:t>
      </w:r>
      <w:r>
        <w:rPr>
          <w:rFonts w:ascii="Consolas" w:hAnsi="Consolas"/>
          <w:color w:val="224488"/>
          <w:sz w:val="19"/>
        </w:rPr>
        <w:t>embedding_density = 0.0</w:t>
      </w:r>
      <w:r>
        <w:t>; порог маски</w:t>
      </w:r>
    </w:p>
    <w:p>
      <w:r>
        <w:t>$z = 0$, нижняя граница 0.3, верхняя 0.5; применённая модель — логистическая</w:t>
      </w:r>
    </w:p>
    <w:p>
      <w:r>
        <w:t>регрессия (выиграла у порогового правила на обучении).</w:t>
      </w:r>
    </w:p>
    <w:p>
      <w:pPr>
        <w:pStyle w:val="Heading3"/>
      </w:pPr>
      <w:r>
        <w:t>7.2. Пилот на реальной модели</w:t>
      </w:r>
    </w:p>
    <w:p>
      <w:r>
        <w:rPr>
          <w:b/>
        </w:rPr>
        <w:t>Условия (артефакт `pilot-report`):</w:t>
      </w:r>
      <w:r>
        <w:t xml:space="preserve"> модель</w:t>
      </w:r>
    </w:p>
    <w:p>
      <w:r>
        <w:rPr>
          <w:rFonts w:ascii="Consolas" w:hAnsi="Consolas"/>
          <w:color w:val="224488"/>
          <w:sz w:val="19"/>
        </w:rPr>
        <w:t>ai-forever/rugpt3small_based_on_gpt2</w:t>
      </w:r>
      <w:r>
        <w:t>, 24 контрастные пары (48 ответов), 1384</w:t>
      </w:r>
    </w:p>
    <w:p>
      <w:r>
        <w:t>токена, бутстрэп 5000 итераций, вычисления на CPU, длительность около 3 минут.</w:t>
      </w:r>
    </w:p>
    <w:p>
      <w:r>
        <w:rPr>
          <w:b/>
        </w:rPr>
        <w:t>Контроль контраста:</w:t>
      </w:r>
      <w:r>
        <w:t xml:space="preserve"> доля ответов, воспроизводящих число из документа — 1.000</w:t>
      </w:r>
    </w:p>
    <w:p>
      <w:r>
        <w:t>в группе «с опорой» и 0.000 в группе «без опоры» (</w:t>
      </w:r>
      <w:r>
        <w:rPr>
          <w:rFonts w:ascii="Consolas" w:hAnsi="Consolas"/>
          <w:color w:val="224488"/>
          <w:sz w:val="19"/>
        </w:rPr>
        <w:t>contrast_ok = true</w:t>
      </w:r>
      <w:r>
        <w:t>).</w:t>
      </w:r>
    </w:p>
    <w:p>
      <w:r>
        <w:t>Лексическое совпадение с документом: 0.847 и 0.692 — то есть отличие</w:t>
      </w:r>
    </w:p>
    <w:p>
      <w:r>
        <w:t>действительно в одном числе, а не в «другом стиле».</w:t>
      </w:r>
    </w:p>
    <w:p>
      <w:r>
        <w:rPr>
          <w:b/>
        </w:rPr>
        <w:t>Результат: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Слой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Признак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AUC (все токены)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AUC (токен значения)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Δ «без опоры − с опорой»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Вывод</w:t>
            </w:r>
          </w:p>
        </w:tc>
      </w:tr>
      <w:tr>
        <w:tc>
          <w:tcPr>
            <w:tcW w:type="dxa" w:w="1440"/>
          </w:tcPr>
          <w:p>
            <w:r/>
            <w:r>
              <w:t>first / middle / -4 / last</w:t>
            </w:r>
          </w:p>
        </w:tc>
        <w:tc>
          <w:tcPr>
            <w:tcW w:type="dxa" w:w="1440"/>
          </w:tcPr>
          <w:p>
            <w:r/>
            <w:r>
              <w:t>attention_entropy</w:t>
            </w:r>
          </w:p>
        </w:tc>
        <w:tc>
          <w:tcPr>
            <w:tcW w:type="dxa" w:w="1440"/>
          </w:tcPr>
          <w:p>
            <w:r/>
            <w:r>
              <w:t>0.499–0.506</w:t>
            </w:r>
          </w:p>
        </w:tc>
        <w:tc>
          <w:tcPr>
            <w:tcW w:type="dxa" w:w="1440"/>
          </w:tcPr>
          <w:p>
            <w:r/>
            <w:r>
              <w:t>0.500</w:t>
            </w:r>
          </w:p>
        </w:tc>
        <w:tc>
          <w:tcPr>
            <w:tcW w:type="dxa" w:w="1440"/>
          </w:tcPr>
          <w:p>
            <w:r/>
            <w:r>
              <w:t>+0.000000</w:t>
            </w:r>
          </w:p>
        </w:tc>
        <w:tc>
          <w:tcPr>
            <w:tcW w:type="dxa" w:w="1440"/>
          </w:tcPr>
          <w:p>
            <w:r/>
            <w:r>
              <w:t>незначимо</w:t>
            </w:r>
          </w:p>
        </w:tc>
      </w:tr>
      <w:tr>
        <w:tc>
          <w:tcPr>
            <w:tcW w:type="dxa" w:w="1440"/>
          </w:tcPr>
          <w:p>
            <w:r/>
            <w:r>
              <w:t>first / middle / -4 / last</w:t>
            </w:r>
          </w:p>
        </w:tc>
        <w:tc>
          <w:tcPr>
            <w:tcW w:type="dxa" w:w="1440"/>
          </w:tcPr>
          <w:p>
            <w:r/>
            <w:r>
              <w:t>ctx_attention_mass</w:t>
            </w:r>
          </w:p>
        </w:tc>
        <w:tc>
          <w:tcPr>
            <w:tcW w:type="dxa" w:w="1440"/>
          </w:tcPr>
          <w:p>
            <w:r/>
            <w:r>
              <w:t>0.499–0.501</w:t>
            </w:r>
          </w:p>
        </w:tc>
        <w:tc>
          <w:tcPr>
            <w:tcW w:type="dxa" w:w="1440"/>
          </w:tcPr>
          <w:p>
            <w:r/>
            <w:r>
              <w:t>0.500</w:t>
            </w:r>
          </w:p>
        </w:tc>
        <w:tc>
          <w:tcPr>
            <w:tcW w:type="dxa" w:w="1440"/>
          </w:tcPr>
          <w:p>
            <w:r/>
            <w:r>
              <w:t>+0.000000</w:t>
            </w:r>
          </w:p>
        </w:tc>
        <w:tc>
          <w:tcPr>
            <w:tcW w:type="dxa" w:w="1440"/>
          </w:tcPr>
          <w:p>
            <w:r/>
            <w:r>
              <w:t>незначимо</w:t>
            </w:r>
          </w:p>
        </w:tc>
      </w:tr>
      <w:tr>
        <w:tc>
          <w:tcPr>
            <w:tcW w:type="dxa" w:w="1440"/>
          </w:tcPr>
          <w:p>
            <w:r/>
            <w:r>
              <w:t>first / middle / -4 / last</w:t>
            </w:r>
          </w:p>
        </w:tc>
        <w:tc>
          <w:tcPr>
            <w:tcW w:type="dxa" w:w="1440"/>
          </w:tcPr>
          <w:p>
            <w:r/>
            <w:r>
              <w:t>embedding_density</w:t>
            </w:r>
          </w:p>
        </w:tc>
        <w:tc>
          <w:tcPr>
            <w:tcW w:type="dxa" w:w="1440"/>
          </w:tcPr>
          <w:p>
            <w:r/>
            <w:r>
              <w:t>0.492–0.499</w:t>
            </w:r>
          </w:p>
        </w:tc>
        <w:tc>
          <w:tcPr>
            <w:tcW w:type="dxa" w:w="1440"/>
          </w:tcPr>
          <w:p>
            <w:r/>
            <w:r>
              <w:t>0.500</w:t>
            </w:r>
          </w:p>
        </w:tc>
        <w:tc>
          <w:tcPr>
            <w:tcW w:type="dxa" w:w="1440"/>
          </w:tcPr>
          <w:p>
            <w:r/>
            <w:r>
              <w:t>+0.000000</w:t>
            </w:r>
          </w:p>
        </w:tc>
        <w:tc>
          <w:tcPr>
            <w:tcW w:type="dxa" w:w="1440"/>
          </w:tcPr>
          <w:p>
            <w:r/>
            <w:r>
              <w:t>незначимо</w:t>
            </w:r>
          </w:p>
        </w:tc>
      </w:tr>
    </w:tbl>
    <w:p/>
    <w:p>
      <w:r>
        <w:rPr>
          <w:b/>
        </w:rPr>
        <w:t>Вывод пилота (честный):</w:t>
      </w:r>
      <w:r>
        <w:t xml:space="preserve"> на контрасте «подмена одного числа» ни один признак</w:t>
      </w:r>
    </w:p>
    <w:p>
      <w:r>
        <w:t>ни на одном слое не разделяет достоверный и недостоверный ответы лучше случайного</w:t>
      </w:r>
    </w:p>
    <w:p>
      <w:r>
        <w:t>угадывания; парные разницы статистически неотличимы от нуля. Гипотеза о</w:t>
      </w:r>
    </w:p>
    <w:p>
      <w:r>
        <w:t>превосходстве доли внимания на документ над «сырой» энтропией внимания **не</w:t>
      </w:r>
    </w:p>
    <w:p>
      <w:r>
        <w:t>подтвердилась**. Это означает, что:</w:t>
      </w:r>
    </w:p>
    <w:p>
      <w:pPr>
        <w:pStyle w:val="ListBullet"/>
      </w:pPr>
      <w:r>
        <w:t>подмена одного числа не отражается во внутренних сигналах модели</w:t>
      </w:r>
    </w:p>
    <w:p>
      <w:r>
        <w:t xml:space="preserve">  рассматриваемого размера в данной постановке;</w:t>
      </w:r>
    </w:p>
    <w:p>
      <w:pPr>
        <w:pStyle w:val="ListBullet"/>
      </w:pPr>
      <w:r>
        <w:t>признаки внимания требуют более выраженных искажений (выдуманные утверждения,</w:t>
      </w:r>
    </w:p>
    <w:p>
      <w:r>
        <w:t xml:space="preserve">  длинные расхождения) либо другой модели и большего объёма данных;</w:t>
      </w:r>
    </w:p>
    <w:p>
      <w:pPr>
        <w:pStyle w:val="ListBullet"/>
      </w:pPr>
      <w:r>
        <w:t>демонстрационный режим средства работает за счёт лексических признаков, и его</w:t>
      </w:r>
    </w:p>
    <w:p>
      <w:r>
        <w:t xml:space="preserve">  метрики (раздел 7.1) </w:t>
      </w:r>
      <w:r>
        <w:rPr>
          <w:b/>
        </w:rPr>
        <w:t>не являются</w:t>
      </w:r>
      <w:r>
        <w:t xml:space="preserve"> научным подтверждением метода на реальных</w:t>
      </w:r>
    </w:p>
    <w:p>
      <w:r>
        <w:t xml:space="preserve">  текстах.</w:t>
      </w:r>
    </w:p>
    <w:p>
      <w:r>
        <w:t>Отрицательный результат зафиксирован без подгонки: пороги не подбирались по</w:t>
      </w:r>
    </w:p>
    <w:p>
      <w:r>
        <w:t>тестовой части, пары не отбирались по результату.</w:t>
      </w:r>
    </w:p>
    <w:p>
      <w:pPr>
        <w:pStyle w:val="Heading3"/>
      </w:pPr>
      <w:r>
        <w:t>7.3. Проверки программного средства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Проверка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Результат</w:t>
            </w:r>
          </w:p>
        </w:tc>
      </w:tr>
      <w:tr>
        <w:tc>
          <w:tcPr>
            <w:tcW w:type="dxa" w:w="4320"/>
          </w:tcPr>
          <w:p>
            <w:r/>
            <w:r>
              <w:t>Автоматические тесты</w:t>
            </w:r>
          </w:p>
        </w:tc>
        <w:tc>
          <w:tcPr>
            <w:tcW w:type="dxa" w:w="4320"/>
          </w:tcPr>
          <w:p>
            <w:r/>
            <w:r>
              <w:t>233 тестов, все проходят</w:t>
            </w:r>
          </w:p>
        </w:tc>
      </w:tr>
      <w:tr>
        <w:tc>
          <w:tcPr>
            <w:tcW w:type="dxa" w:w="4320"/>
          </w:tcPr>
          <w:p>
            <w:r/>
            <w:r>
              <w:t>Покрытие кода</w:t>
            </w:r>
          </w:p>
        </w:tc>
        <w:tc>
          <w:tcPr>
            <w:tcW w:type="dxa" w:w="4320"/>
          </w:tcPr>
          <w:p>
            <w:r/>
            <w:r>
              <w:t>86 % (порог 85 %)</w:t>
            </w:r>
          </w:p>
        </w:tc>
      </w:tr>
      <w:tr>
        <w:tc>
          <w:tcPr>
            <w:tcW w:type="dxa" w:w="4320"/>
          </w:tcPr>
          <w:p>
            <w:r/>
            <w:r>
              <w:t>Стиль</w:t>
            </w:r>
          </w:p>
        </w:tc>
        <w:tc>
          <w:tcPr>
            <w:tcW w:type="dxa" w:w="4320"/>
          </w:tcPr>
          <w:p>
            <w:r/>
            <w:r>
              <w:t>без замечаний (</w:t>
            </w:r>
            <w:r>
              <w:rPr>
                <w:rFonts w:ascii="Consolas" w:hAnsi="Consolas"/>
                <w:color w:val="224488"/>
                <w:sz w:val="19"/>
              </w:rPr>
              <w:t>ruff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black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t>Воспроизводимость обучения</w:t>
            </w:r>
          </w:p>
        </w:tc>
        <w:tc>
          <w:tcPr>
            <w:tcW w:type="dxa" w:w="4320"/>
          </w:tcPr>
          <w:p>
            <w:r/>
            <w:r>
              <w:t>два запуска с seed 42 дают одинаковый файл параметров (SHA-256)</w:t>
            </w:r>
          </w:p>
        </w:tc>
      </w:tr>
      <w:tr>
        <w:tc>
          <w:tcPr>
            <w:tcW w:type="dxa" w:w="4320"/>
          </w:tcPr>
          <w:p>
            <w:r/>
            <w:r>
              <w:t xml:space="preserve">Смоук-тест собранного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 xml:space="preserve"> в CI</w:t>
            </w:r>
          </w:p>
        </w:tc>
        <w:tc>
          <w:tcPr>
            <w:tcW w:type="dxa" w:w="4320"/>
          </w:tcPr>
          <w:p>
            <w:r/>
            <w:r>
              <w:t xml:space="preserve">запуск, </w:t>
            </w:r>
            <w:r>
              <w:rPr>
                <w:rFonts w:ascii="Consolas" w:hAnsi="Consolas"/>
                <w:color w:val="224488"/>
                <w:sz w:val="19"/>
              </w:rPr>
              <w:t>/health</w:t>
            </w:r>
            <w:r>
              <w:t xml:space="preserve">, подмена найдена, достоверный ответ не обвинён, автономность без папки </w:t>
            </w:r>
            <w:r>
              <w:rPr>
                <w:rFonts w:ascii="Consolas" w:hAnsi="Consolas"/>
                <w:color w:val="224488"/>
                <w:sz w:val="19"/>
              </w:rPr>
              <w:t>config</w:t>
            </w:r>
          </w:p>
        </w:tc>
      </w:tr>
      <w:tr>
        <w:tc>
          <w:tcPr>
            <w:tcW w:type="dxa" w:w="4320"/>
          </w:tcPr>
          <w:p>
            <w:r/>
            <w:r>
              <w:t>Контроль целостности сборки</w:t>
            </w:r>
          </w:p>
        </w:tc>
        <w:tc>
          <w:tcPr>
            <w:tcW w:type="dxa" w:w="4320"/>
          </w:tcPr>
          <w:p>
            <w:r/>
            <w:r>
              <w:t xml:space="preserve">Python DLL внутри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 xml:space="preserve"> побайтово совпадает с исходной</w:t>
            </w:r>
          </w:p>
        </w:tc>
      </w:tr>
    </w:tbl>
    <w:p/>
    <w:p>
      <w:pPr>
        <w:pStyle w:val="Heading2"/>
      </w:pPr>
      <w:r>
        <w:t>8. Обсуждение</w:t>
      </w:r>
    </w:p>
    <w:p>
      <w:r>
        <w:t>Работа показывает, что задача локализации неподтверждённых фрагментов решается</w:t>
      </w:r>
    </w:p>
    <w:p>
      <w:r>
        <w:t>на выбранном классе искажений (подмена значения, выдуманное утверждение) в</w:t>
      </w:r>
    </w:p>
    <w:p>
      <w:r>
        <w:t xml:space="preserve">демонстрационном режиме и </w:t>
      </w:r>
      <w:r>
        <w:rPr>
          <w:b/>
        </w:rPr>
        <w:t>не решается</w:t>
      </w:r>
      <w:r>
        <w:t xml:space="preserve"> признаками внимания небольшой модели в</w:t>
      </w:r>
    </w:p>
    <w:p>
      <w:r>
        <w:t>предельно трудной постановке «одно число». Это содержательный результат: он</w:t>
      </w:r>
    </w:p>
    <w:p>
      <w:r>
        <w:t>разграничивает «работоспособность конвейера» и «научную состоятельность</w:t>
      </w:r>
    </w:p>
    <w:p>
      <w:r>
        <w:t>признаков» и определяет направление дальнейших исследований — более крупные</w:t>
      </w:r>
    </w:p>
    <w:p>
      <w:r>
        <w:t>модели, более сильные искажения, обучение на реальных размеченных парах.</w:t>
      </w:r>
    </w:p>
    <w:p>
      <w:pPr>
        <w:pStyle w:val="Heading2"/>
      </w:pPr>
      <w:r>
        <w:t>9. Ограничения</w:t>
      </w:r>
    </w:p>
    <w:p>
      <w:pPr>
        <w:pStyle w:val="ListNumber"/>
      </w:pPr>
      <w:r>
        <w:t>Демонстрационный набор синтетический; метрики раздела 7.1 отражают</w:t>
      </w:r>
    </w:p>
    <w:p>
      <w:r>
        <w:t xml:space="preserve">   работоспособность и самосогласованность метода.</w:t>
      </w:r>
    </w:p>
    <w:p>
      <w:pPr>
        <w:pStyle w:val="ListNumber"/>
      </w:pPr>
      <w:r>
        <w:t>Пилот ограничен одной моделью и десятками пар; доверительные интервалы</w:t>
      </w:r>
    </w:p>
    <w:p>
      <w:r>
        <w:t xml:space="preserve">   широкие (см. артефакт).</w:t>
      </w:r>
    </w:p>
    <w:p>
      <w:pPr>
        <w:pStyle w:val="ListNumber"/>
      </w:pPr>
      <w:r>
        <w:t>Признаки зависят от выбора модели и слоя.</w:t>
      </w:r>
    </w:p>
    <w:p>
      <w:pPr>
        <w:pStyle w:val="ListNumber"/>
      </w:pPr>
      <w:r>
        <w:t>Для прикладного применения нужна калибровка на размеченных парах пользователя</w:t>
      </w:r>
    </w:p>
    <w:p>
      <w:r>
        <w:t xml:space="preserve">   (процедура описана в руководстве).</w:t>
      </w:r>
    </w:p>
    <w:p>
      <w:pPr>
        <w:pStyle w:val="Heading2"/>
      </w:pPr>
      <w:r>
        <w:t>10. Заключение</w:t>
      </w:r>
    </w:p>
    <w:p>
      <w:r>
        <w:t>Разработан и исследован метод локализации неподтверждённых документом</w:t>
      </w:r>
    </w:p>
    <w:p>
      <w:r>
        <w:t>фрагментов ответа, реализовано программное средство с локальной обработкой,</w:t>
      </w:r>
    </w:p>
    <w:p>
      <w:r>
        <w:t>проведены оценка на отложенной части демонстрационного набора и пилотное</w:t>
      </w:r>
    </w:p>
    <w:p>
      <w:r>
        <w:t>исследование признаков по слоям реальной модели. Задачи этапов 1–7 календарного</w:t>
      </w:r>
    </w:p>
    <w:p>
      <w:r>
        <w:t>плана выполнены; полученный отрицательный результат пилота зафиксирован и</w:t>
      </w:r>
    </w:p>
    <w:p>
      <w:r>
        <w:t>определяет направления дальнейшей работы.</w:t>
      </w:r>
    </w:p>
    <w:p>
      <w:pPr>
        <w:pStyle w:val="Heading2"/>
      </w:pPr>
      <w:r>
        <w:t>11. Приложения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docs/РУКОВОДСТВО.md</w:t>
      </w:r>
      <w:r>
        <w:t xml:space="preserve"> — руководство пользователя.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Итог.md</w:t>
      </w:r>
      <w:r>
        <w:t xml:space="preserve"> — сводка проверок, ссылка на сборку, чек-лист приёмки.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PROGRESS.md</w:t>
      </w:r>
      <w:r>
        <w:t xml:space="preserve"> — журнал решений и найденных ошибок.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spanverify-module/README.md</w:t>
      </w:r>
      <w:r>
        <w:t xml:space="preserve"> — описание метода и интерфейсов.</w:t>
      </w:r>
    </w:p>
    <w:p>
      <w:pPr>
        <w:pStyle w:val="ListNumber"/>
      </w:pPr>
      <w:r>
        <w:t>Артефакты запусков — отчёты пилота и сборки в GitHub Actions.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