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Заявка: конструктор полей и готовые формулировки</w:t>
      </w:r>
    </w:p>
    <w:p>
      <w:pPr>
        <w:pStyle w:val="IntenseQuote"/>
      </w:pPr>
      <w:r>
        <w:rPr>
          <w:b/>
        </w:rPr>
        <w:t>Важно, прочитайте первым.</w:t>
      </w:r>
    </w:p>
    <w:p>
      <w:r>
        <w:t>&gt;</w:t>
      </w:r>
    </w:p>
    <w:p>
      <w:pPr>
        <w:pStyle w:val="IntenseQuote"/>
      </w:pPr>
      <w:r>
        <w:t xml:space="preserve">Исходная заявка (PDF) и ТЗ в этой рабочей папке </w:t>
      </w:r>
      <w:r>
        <w:rPr>
          <w:b/>
        </w:rPr>
        <w:t>отсутствуют</w:t>
      </w:r>
      <w:r>
        <w:t>, а файл</w:t>
      </w:r>
    </w:p>
    <w:p>
      <w:pPr>
        <w:pStyle w:val="IntenseQuote"/>
      </w:pPr>
      <w:r>
        <w:rPr>
          <w:rFonts w:ascii="Consolas" w:hAnsi="Consolas"/>
          <w:color w:val="224488"/>
          <w:sz w:val="19"/>
        </w:rPr>
        <w:t>Заявка_У-640148_исправленная.md</w:t>
      </w:r>
      <w:r>
        <w:t xml:space="preserve">, подготовленный ранее, </w:t>
      </w:r>
      <w:r>
        <w:rPr>
          <w:b/>
        </w:rPr>
        <w:t>не сохранился</w:t>
      </w:r>
      <w:r>
        <w:t>:</w:t>
      </w:r>
    </w:p>
    <w:p>
      <w:pPr>
        <w:pStyle w:val="IntenseQuote"/>
      </w:pPr>
      <w:r>
        <w:t xml:space="preserve">в репозитории изначально был только пустой </w:t>
      </w:r>
      <w:r>
        <w:rPr>
          <w:rFonts w:ascii="Consolas" w:hAnsi="Consolas"/>
          <w:color w:val="224488"/>
          <w:sz w:val="19"/>
        </w:rPr>
        <w:t>README.md</w:t>
      </w:r>
      <w:r>
        <w:t>, все прежние файлы</w:t>
      </w:r>
    </w:p>
    <w:p>
      <w:pPr>
        <w:pStyle w:val="IntenseQuote"/>
      </w:pPr>
      <w:r>
        <w:t>не дошли до диска. Поэтому я не могу «исправить» ваш документ — я его не</w:t>
      </w:r>
    </w:p>
    <w:p>
      <w:pPr>
        <w:pStyle w:val="IntenseQuote"/>
      </w:pPr>
      <w:r>
        <w:t>вижу.</w:t>
      </w:r>
    </w:p>
    <w:p>
      <w:r>
        <w:t>&gt;</w:t>
      </w:r>
    </w:p>
    <w:p>
      <w:pPr>
        <w:pStyle w:val="IntenseQuote"/>
      </w:pPr>
      <w:r>
        <w:t xml:space="preserve">Что это за файл: </w:t>
      </w:r>
      <w:r>
        <w:rPr>
          <w:b/>
        </w:rPr>
        <w:t>конструктор</w:t>
      </w:r>
      <w:r>
        <w:t xml:space="preserve"> — проверенные формулировки для разделов</w:t>
      </w:r>
    </w:p>
    <w:p>
      <w:pPr>
        <w:pStyle w:val="IntenseQuote"/>
      </w:pPr>
      <w:r>
        <w:t>заявки, опирающиеся на реально работающий модуль и реальные посчитанные</w:t>
      </w:r>
    </w:p>
    <w:p>
      <w:pPr>
        <w:pStyle w:val="IntenseQuote"/>
      </w:pPr>
      <w:r>
        <w:t>метрики, плюс чек-лист типовых замечаний экспертизы с местами для</w:t>
      </w:r>
    </w:p>
    <w:p>
      <w:pPr>
        <w:pStyle w:val="IntenseQuote"/>
      </w:pPr>
      <w:r>
        <w:t>подстановки ваших данных (</w:t>
      </w:r>
      <w:r>
        <w:rPr>
          <w:rFonts w:ascii="Consolas" w:hAnsi="Consolas"/>
          <w:color w:val="224488"/>
          <w:sz w:val="19"/>
        </w:rPr>
        <w:t>«…»</w:t>
      </w:r>
      <w:r>
        <w:t>).</w:t>
      </w:r>
    </w:p>
    <w:p>
      <w:r>
        <w:t>&gt;</w:t>
      </w:r>
    </w:p>
    <w:p>
      <w:pPr>
        <w:pStyle w:val="IntenseQuote"/>
      </w:pPr>
      <w:r>
        <w:t xml:space="preserve">Чтобы получить именно </w:t>
      </w:r>
      <w:r>
        <w:rPr>
          <w:b/>
        </w:rPr>
        <w:t>исправленную редакцию вашей заявки</w:t>
      </w:r>
      <w:r>
        <w:t>, приложите</w:t>
      </w:r>
    </w:p>
    <w:p>
      <w:pPr>
        <w:pStyle w:val="IntenseQuote"/>
      </w:pPr>
      <w:r>
        <w:t>PDF/текст заявки и ТЗ — я сверю поле за полем, найду расхождения</w:t>
      </w:r>
    </w:p>
    <w:p>
      <w:pPr>
        <w:pStyle w:val="IntenseQuote"/>
      </w:pPr>
      <w:r>
        <w:t>(включая обрезанные фразы, дубли абзацев, несоответствия срокам и</w:t>
      </w:r>
    </w:p>
    <w:p>
      <w:pPr>
        <w:pStyle w:val="IntenseQuote"/>
      </w:pPr>
      <w:r>
        <w:t>классификаторам) и соберу финальную версию с готовыми текстами.</w:t>
      </w:r>
    </w:p>
    <w:p>
      <w:r>
        <w:t>Ниже: (1) готовые формулировки по разделам, (2) чек-лист проверки перед</w:t>
      </w:r>
    </w:p>
    <w:p>
      <w:r>
        <w:t>подачей, (3) что ещё нужно от вас.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Предмет и суть проекта</w:t>
      </w:r>
    </w:p>
    <w:p>
      <w:r>
        <w:rPr>
          <w:b/>
        </w:rPr>
        <w:t>Формулировка (готова к вставке):</w:t>
      </w:r>
    </w:p>
    <w:p>
      <w:pPr>
        <w:pStyle w:val="IntenseQuote"/>
      </w:pPr>
      <w:r>
        <w:t>Разработан метод и программный модуль локализации фрагментов текста,</w:t>
      </w:r>
    </w:p>
    <w:p>
      <w:pPr>
        <w:pStyle w:val="IntenseQuote"/>
      </w:pPr>
      <w:r>
        <w:t>созданных генеративными языковыми моделями, и оценки доли участия ИИ в</w:t>
      </w:r>
    </w:p>
    <w:p>
      <w:pPr>
        <w:pStyle w:val="IntenseQuote"/>
      </w:pPr>
      <w:r>
        <w:t>документе. Результат работы модуля — перечень фрагментов с точными</w:t>
      </w:r>
    </w:p>
    <w:p>
      <w:pPr>
        <w:pStyle w:val="IntenseQuote"/>
      </w:pPr>
      <w:r>
        <w:t>смещениями в символах и токенах, вероятность для каждого фрагмента и</w:t>
      </w:r>
    </w:p>
    <w:p>
      <w:pPr>
        <w:pStyle w:val="IntenseQuote"/>
      </w:pPr>
      <w:r>
        <w:t>интегральная оценка доли участия ИИ. Модуль работает локально, не передаёт</w:t>
      </w:r>
    </w:p>
    <w:p>
      <w:pPr>
        <w:pStyle w:val="IntenseQuote"/>
      </w:pPr>
      <w:r>
        <w:t>текст внешним сервисам и не требует сетевого доступа; ядро реализовано на</w:t>
      </w:r>
    </w:p>
    <w:p>
      <w:pPr>
        <w:pStyle w:val="IntenseQuote"/>
      </w:pPr>
      <w:r>
        <w:t>стандартной библиотеке Python 3.10+, что обеспечивает воспроизводимость и</w:t>
      </w:r>
    </w:p>
    <w:p>
      <w:pPr>
        <w:pStyle w:val="IntenseQuote"/>
      </w:pPr>
      <w:r>
        <w:t>простоту внедрения в закрытом контуре.</w:t>
      </w:r>
    </w:p>
    <w:p>
      <w:pPr>
        <w:pStyle w:val="Heading2"/>
      </w:pPr>
      <w:r>
        <w:t>2. Научно-техническая новизна</w:t>
      </w:r>
    </w:p>
    <w:p>
      <w:r>
        <w:rPr>
          <w:b/>
        </w:rPr>
        <w:t>Формулировка (готова к вставке):</w:t>
      </w:r>
    </w:p>
    <w:p>
      <w:pPr>
        <w:pStyle w:val="IntenseQuote"/>
      </w:pPr>
      <w:r>
        <w:t>Новизна решения — в комбинировании двух независимых сигналов «машинности»</w:t>
      </w:r>
    </w:p>
    <w:p>
      <w:pPr>
        <w:pStyle w:val="IntenseQuote"/>
      </w:pPr>
      <w:r>
        <w:t>текста и в переносе решения с уровня документа на уровень фрагмента:</w:t>
      </w:r>
    </w:p>
    <w:p>
      <w:pPr>
        <w:pStyle w:val="IntenseQuote"/>
      </w:pPr>
      <w:r>
        <w:t>(1) предсказуемость токена для языковой модели, оцениваемая через энтропию</w:t>
      </w:r>
    </w:p>
    <w:p>
      <w:pPr>
        <w:pStyle w:val="IntenseQuote"/>
      </w:pPr>
      <w:r>
        <w:t>внимания последнего слоя, и (2) плотность контекстного окружения токена,</w:t>
      </w:r>
    </w:p>
    <w:p>
      <w:pPr>
        <w:pStyle w:val="IntenseQuote"/>
      </w:pPr>
      <w:r>
        <w:t>оцениваемая методом k ближайших соседей по контекстным эмбеддингам в</w:t>
      </w:r>
    </w:p>
    <w:p>
      <w:pPr>
        <w:pStyle w:val="IntenseQuote"/>
      </w:pPr>
      <w:r>
        <w:t>пределах анализируемого документа. Оценки переводятся в вероятности</w:t>
      </w:r>
    </w:p>
    <w:p>
      <w:pPr>
        <w:pStyle w:val="IntenseQuote"/>
      </w:pPr>
      <w:r>
        <w:t>изотонической калибровкой (PAVA) на размеченном корпусе, а порог</w:t>
      </w:r>
    </w:p>
    <w:p>
      <w:pPr>
        <w:pStyle w:val="IntenseQuote"/>
      </w:pPr>
      <w:r>
        <w:t>выбирается при ограничении на долю ложных срабатываний, что делает</w:t>
      </w:r>
    </w:p>
    <w:p>
      <w:pPr>
        <w:pStyle w:val="IntenseQuote"/>
      </w:pPr>
      <w:r>
        <w:t>поведение метода предсказуемым для заказчика. Существенно, что</w:t>
      </w:r>
    </w:p>
    <w:p>
      <w:pPr>
        <w:pStyle w:val="IntenseQuote"/>
      </w:pPr>
      <w:r>
        <w:t>локализация не сводится к пороговой фильтрации токенов: найденные</w:t>
      </w:r>
    </w:p>
    <w:p>
      <w:pPr>
        <w:pStyle w:val="IntenseQuote"/>
      </w:pPr>
      <w:r>
        <w:t>участки расширяются до границ предложений и склеиваются, поэтому</w:t>
      </w:r>
    </w:p>
    <w:p>
      <w:pPr>
        <w:pStyle w:val="IntenseQuote"/>
      </w:pPr>
      <w:r>
        <w:t>результат интерпретируем человеком.</w:t>
      </w:r>
    </w:p>
    <w:p>
      <w:pPr>
        <w:pStyle w:val="Heading2"/>
      </w:pPr>
      <w:r>
        <w:t>3. Метод (по шагам)</w:t>
      </w:r>
    </w:p>
    <w:p>
      <w:pPr>
        <w:pStyle w:val="IntenseQuote"/>
      </w:pPr>
      <w:r>
        <w:t>1. Токенизация с непрерывным покрытием текста (каждый символ принадлежит</w:t>
      </w:r>
    </w:p>
    <w:p>
      <w:pPr>
        <w:pStyle w:val="IntenseQuote"/>
      </w:pPr>
      <w:r>
        <w:t xml:space="preserve">   ровно одному токену) — это позволяет считать долю участия ИИ точно и</w:t>
      </w:r>
    </w:p>
    <w:p>
      <w:pPr>
        <w:pStyle w:val="IntenseQuote"/>
      </w:pPr>
      <w:r>
        <w:t xml:space="preserve">   строить разметку без потерь.</w:t>
      </w:r>
    </w:p>
    <w:p>
      <w:pPr>
        <w:pStyle w:val="IntenseQuote"/>
      </w:pPr>
      <w:r>
        <w:t>2. Признаки по токенам: предсказуемость (энтропия внимания последнего</w:t>
      </w:r>
    </w:p>
    <w:p>
      <w:pPr>
        <w:pStyle w:val="IntenseQuote"/>
      </w:pPr>
      <w:r>
        <w:t xml:space="preserve">   слоя, усреднение по головам, нормировка на log длины</w:t>
      </w:r>
    </w:p>
    <w:p>
      <w:pPr>
        <w:pStyle w:val="IntenseQuote"/>
      </w:pPr>
      <w:r>
        <w:t xml:space="preserve">   последовательности) и контекстная плотность (средняя косинусная</w:t>
      </w:r>
    </w:p>
    <w:p>
      <w:pPr>
        <w:pStyle w:val="IntenseQuote"/>
      </w:pPr>
      <w:r>
        <w:t xml:space="preserve">   близость к k = 5 ближайшим соседям).</w:t>
      </w:r>
    </w:p>
    <w:p>
      <w:pPr>
        <w:pStyle w:val="IntenseQuote"/>
      </w:pPr>
      <w:r>
        <w:t>3. Взвешенная сырая оценка и сглаживание скользящим окном.</w:t>
      </w:r>
    </w:p>
    <w:p>
      <w:pPr>
        <w:pStyle w:val="IntenseQuote"/>
      </w:pPr>
      <w:r>
        <w:t>4. Калибровка изотонической регрессией методом смежных нарушителей;</w:t>
      </w:r>
    </w:p>
    <w:p>
      <w:pPr>
        <w:pStyle w:val="IntenseQuote"/>
      </w:pPr>
      <w:r>
        <w:t xml:space="preserve">   подбор порога при ограничении FPR ≤ 0.1; контроль качества —</w:t>
      </w:r>
    </w:p>
    <w:p>
      <w:pPr>
        <w:pStyle w:val="IntenseQuote"/>
      </w:pPr>
      <w:r>
        <w:t xml:space="preserve">   k-фолдовая кросс-валидация по документам.</w:t>
      </w:r>
    </w:p>
    <w:p>
      <w:pPr>
        <w:pStyle w:val="IntenseQuote"/>
      </w:pPr>
      <w:r>
        <w:t>5. Формирование фрагментов, расширение до границ предложений, склейка</w:t>
      </w:r>
    </w:p>
    <w:p>
      <w:pPr>
        <w:pStyle w:val="IntenseQuote"/>
      </w:pPr>
      <w:r>
        <w:t xml:space="preserve">   соседних, отсечение фрагментов короче минимальной длины.</w:t>
      </w:r>
    </w:p>
    <w:p>
      <w:pPr>
        <w:pStyle w:val="IntenseQuote"/>
      </w:pPr>
      <w:r>
        <w:t xml:space="preserve">6. Два режима работы: </w:t>
      </w:r>
      <w:r>
        <w:rPr>
          <w:rFonts w:ascii="Consolas" w:hAnsi="Consolas"/>
          <w:color w:val="224488"/>
          <w:sz w:val="19"/>
        </w:rPr>
        <w:t>hf</w:t>
      </w:r>
      <w:r>
        <w:t xml:space="preserve"> (реальная модель) и </w:t>
      </w:r>
      <w:r>
        <w:rPr>
          <w:rFonts w:ascii="Consolas" w:hAnsi="Consolas"/>
          <w:color w:val="224488"/>
          <w:sz w:val="19"/>
        </w:rPr>
        <w:t>surrogate</w:t>
      </w:r>
    </w:p>
    <w:p>
      <w:pPr>
        <w:pStyle w:val="IntenseQuote"/>
      </w:pPr>
      <w:r>
        <w:t xml:space="preserve">   (без зависимостей, для проверки конвейера и демонстрации интерфейса).</w:t>
      </w:r>
    </w:p>
    <w:p>
      <w:pPr>
        <w:pStyle w:val="Heading2"/>
      </w:pPr>
      <w:r>
        <w:t>4. Что уже подтверждено фактически</w:t>
      </w:r>
    </w:p>
    <w:p>
      <w:r>
        <w:t>Готовый модуль проверен автотестами и прогоном на демонстрационном корпусе.</w:t>
      </w:r>
    </w:p>
    <w:p>
      <w:r>
        <w:t>Ниже — то, что можно защищать на приёмке, с указанием, как это воспроизвести.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Факт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Как проверить</w:t>
            </w:r>
          </w:p>
        </w:tc>
      </w:tr>
      <w:tr>
        <w:tc>
          <w:tcPr>
            <w:tcW w:type="dxa" w:w="4320"/>
          </w:tcPr>
          <w:p>
            <w:r/>
            <w:r>
              <w:t>84 автотеста проходят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pytest -q</w:t>
            </w:r>
          </w:p>
        </w:tc>
      </w:tr>
      <w:tr>
        <w:tc>
          <w:tcPr>
            <w:tcW w:type="dxa" w:w="4320"/>
          </w:tcPr>
          <w:p>
            <w:r/>
            <w:r>
              <w:t>Самопроверка сборки: детектор, калибратор, токенизация, HTTP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selftest</w:t>
            </w:r>
          </w:p>
        </w:tc>
      </w:tr>
      <w:tr>
        <w:tc>
          <w:tcPr>
            <w:tcW w:type="dxa" w:w="4320"/>
          </w:tcPr>
          <w:p>
            <w:r/>
            <w:r>
              <w:t>Работает API и веб-интерфейс без зависимостей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serve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http://localhost:8000</w:t>
            </w:r>
          </w:p>
        </w:tc>
      </w:tr>
      <w:tr>
        <w:tc>
          <w:tcPr>
            <w:tcW w:type="dxa" w:w="4320"/>
          </w:tcPr>
          <w:p>
            <w:r/>
            <w:r>
              <w:t>Однофайловая сборка (Python-машина)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bash scripts/build_zipapp.sh</w:t>
            </w:r>
            <w:r>
              <w:t xml:space="preserve"> → </w:t>
            </w:r>
            <w:r>
              <w:rPr>
                <w:rFonts w:ascii="Consolas" w:hAnsi="Consolas"/>
                <w:color w:val="224488"/>
                <w:sz w:val="19"/>
              </w:rPr>
              <w:t>release/spanverify.pyz</w:t>
            </w:r>
          </w:p>
        </w:tc>
      </w:tr>
      <w:tr>
        <w:tc>
          <w:tcPr>
            <w:tcW w:type="dxa" w:w="4320"/>
          </w:tcPr>
          <w:p>
            <w:r/>
            <w:r>
              <w:t>Воспроизводимость калибровки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python -m spanverify calibrate --dataset data/demo_dataset.jsonl</w:t>
            </w:r>
          </w:p>
        </w:tc>
      </w:tr>
    </w:tbl>
    <w:p/>
    <w:p>
      <w:r>
        <w:t xml:space="preserve">Результаты на </w:t>
      </w:r>
      <w:r>
        <w:rPr>
          <w:b/>
        </w:rPr>
        <w:t>синтетическом</w:t>
      </w:r>
      <w:r>
        <w:t xml:space="preserve"> корпусе (240 документов, 58 655 токенов,</w:t>
      </w:r>
    </w:p>
    <w:p>
      <w:r>
        <w:t>обучение на 168, оценка на 72 отложенных, порог 0.4643):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Уровень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FPR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HDR</w:t>
            </w:r>
          </w:p>
        </w:tc>
      </w:tr>
      <w:tr>
        <w:tc>
          <w:tcPr>
            <w:tcW w:type="dxa" w:w="1440"/>
          </w:tcPr>
          <w:p>
            <w:r/>
            <w:r>
              <w:t>Токены</w:t>
            </w:r>
          </w:p>
        </w:tc>
        <w:tc>
          <w:tcPr>
            <w:tcW w:type="dxa" w:w="1440"/>
          </w:tcPr>
          <w:p>
            <w:r/>
            <w:r>
              <w:t>0.943</w:t>
            </w:r>
          </w:p>
        </w:tc>
        <w:tc>
          <w:tcPr>
            <w:tcW w:type="dxa" w:w="1440"/>
          </w:tcPr>
          <w:p>
            <w:r/>
            <w:r>
              <w:t>0.945</w:t>
            </w:r>
          </w:p>
        </w:tc>
        <w:tc>
          <w:tcPr>
            <w:tcW w:type="dxa" w:w="1440"/>
          </w:tcPr>
          <w:p>
            <w:r/>
            <w:r>
              <w:t>0.944</w:t>
            </w:r>
          </w:p>
        </w:tc>
        <w:tc>
          <w:tcPr>
            <w:tcW w:type="dxa" w:w="1440"/>
          </w:tcPr>
          <w:p>
            <w:r/>
            <w:r>
              <w:t>0.050</w:t>
            </w:r>
          </w:p>
        </w:tc>
        <w:tc>
          <w:tcPr>
            <w:tcW w:type="dxa" w:w="1440"/>
          </w:tcPr>
          <w:p>
            <w:r/>
            <w:r>
              <w:t>0.950</w:t>
            </w:r>
          </w:p>
        </w:tc>
      </w:tr>
      <w:tr>
        <w:tc>
          <w:tcPr>
            <w:tcW w:type="dxa" w:w="1440"/>
          </w:tcPr>
          <w:p>
            <w:r/>
            <w:r>
              <w:t>Фрагменты (IoU ≥ 0.5)</w:t>
            </w:r>
          </w:p>
        </w:tc>
        <w:tc>
          <w:tcPr>
            <w:tcW w:type="dxa" w:w="1440"/>
          </w:tcPr>
          <w:p>
            <w:r/>
            <w:r>
              <w:t>0.843</w:t>
            </w:r>
          </w:p>
        </w:tc>
        <w:tc>
          <w:tcPr>
            <w:tcW w:type="dxa" w:w="1440"/>
          </w:tcPr>
          <w:p>
            <w:r/>
            <w:r>
              <w:t>0.829</w:t>
            </w:r>
          </w:p>
        </w:tc>
        <w:tc>
          <w:tcPr>
            <w:tcW w:type="dxa" w:w="1440"/>
          </w:tcPr>
          <w:p>
            <w:r/>
            <w:r>
              <w:t>0.833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Символы</w:t>
            </w:r>
          </w:p>
        </w:tc>
        <w:tc>
          <w:tcPr>
            <w:tcW w:type="dxa" w:w="1440"/>
          </w:tcPr>
          <w:p>
            <w:r/>
            <w:r>
              <w:t>0.796</w:t>
            </w:r>
          </w:p>
        </w:tc>
        <w:tc>
          <w:tcPr>
            <w:tcW w:type="dxa" w:w="1440"/>
          </w:tcPr>
          <w:p>
            <w:r/>
            <w:r>
              <w:t>0.992</w:t>
            </w:r>
          </w:p>
        </w:tc>
        <w:tc>
          <w:tcPr>
            <w:tcW w:type="dxa" w:w="1440"/>
          </w:tcPr>
          <w:p>
            <w:r/>
            <w:r>
              <w:t>0.881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</w:tbl>
    <w:p/>
    <w:p>
      <w:r>
        <w:t>Средняя абсолютная ошибка оценки доли участия ИИ — 0.141 доли документа.</w:t>
      </w:r>
    </w:p>
    <w:p>
      <w:pPr>
        <w:pStyle w:val="IntenseQuote"/>
      </w:pPr>
      <w:r>
        <w:rPr>
          <w:b/>
        </w:rPr>
        <w:t>Формулировка ограничения (обязательно указать в заявке или в отчёте):</w:t>
      </w:r>
    </w:p>
    <w:p>
      <w:r>
        <w:t>&gt;</w:t>
      </w:r>
    </w:p>
    <w:p>
      <w:pPr>
        <w:pStyle w:val="IntenseQuote"/>
      </w:pPr>
      <w:r>
        <w:t>&gt; Приведённые значения получены на синтетическом демонстрационном корпусе</w:t>
      </w:r>
    </w:p>
    <w:p>
      <w:pPr>
        <w:pStyle w:val="IntenseQuote"/>
      </w:pPr>
      <w:r>
        <w:t>&gt; и подтверждают работоспособность методики, а не её качество на реальных</w:t>
      </w:r>
    </w:p>
    <w:p>
      <w:pPr>
        <w:pStyle w:val="IntenseQuote"/>
      </w:pPr>
      <w:r>
        <w:t>&gt; документах: обе группы текстов порождены одним генератором. Метрики для</w:t>
      </w:r>
    </w:p>
    <w:p>
      <w:pPr>
        <w:pStyle w:val="IntenseQuote"/>
      </w:pPr>
      <w:r>
        <w:t>&gt; отчётности определяются на размеченном корпусе реальных документов в</w:t>
      </w:r>
    </w:p>
    <w:p>
      <w:pPr>
        <w:pStyle w:val="IntenseQuote"/>
      </w:pPr>
      <w:r>
        <w:t>&gt; режиме реальной модели; методика набора корпуса и снятия метрик описана</w:t>
      </w:r>
    </w:p>
    <w:p>
      <w:pPr>
        <w:pStyle w:val="IntenseQuote"/>
      </w:pPr>
      <w:r>
        <w:t>&gt; и воспроизводима.</w:t>
      </w:r>
    </w:p>
    <w:p>
      <w:pPr>
        <w:pStyle w:val="Heading2"/>
      </w:pPr>
      <w:r>
        <w:t>5. Ожидаемые результаты (по этапам)</w:t>
      </w:r>
    </w:p>
    <w:p>
      <w:r>
        <w:t>Сроки подставьте из своего ТЗ — ниже содержательные результаты, а не календарные даты.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Результат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Проверяемый артефакт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Метод и конвейер анализа; демонстрационный корпус с разметкой</w:t>
            </w:r>
          </w:p>
        </w:tc>
        <w:tc>
          <w:tcPr>
            <w:tcW w:type="dxa" w:w="2880"/>
          </w:tcPr>
          <w:p>
            <w:r/>
            <w:r>
              <w:t xml:space="preserve">код, </w:t>
            </w:r>
            <w:r>
              <w:rPr>
                <w:rFonts w:ascii="Consolas" w:hAnsi="Consolas"/>
                <w:color w:val="224488"/>
                <w:sz w:val="19"/>
              </w:rPr>
              <w:t>data/demo_dataset.jsonl</w:t>
            </w:r>
            <w:r>
              <w:t>, тесты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Подключение реальной модели, калибровка на корпусе заказчика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config/calibration.json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reports/real/report.md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Программный модуль с API и интерфейсом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spanverify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Dockerfile</w:t>
            </w:r>
            <w:r>
              <w:t>, инструкция по запуску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Отчёт о качестве: токены, фрагменты, символы, доля участия ИИ, типовые ошибки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reports/real/report.md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report.json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Поставка и внедрение: сборка, инструкции, протокол приёмки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release/</w:t>
            </w:r>
            <w:r>
              <w:t xml:space="preserve">, протокол </w:t>
            </w:r>
            <w:r>
              <w:rPr>
                <w:rFonts w:ascii="Consolas" w:hAnsi="Consolas"/>
                <w:color w:val="224488"/>
                <w:sz w:val="19"/>
              </w:rPr>
              <w:t>selftest</w:t>
            </w:r>
            <w:r>
              <w:t>, акт</w:t>
            </w:r>
          </w:p>
        </w:tc>
      </w:tr>
    </w:tbl>
    <w:p/>
    <w:p>
      <w:pPr>
        <w:pStyle w:val="Heading2"/>
      </w:pPr>
      <w:r>
        <w:t>6. Метрики приёмки (что фиксировать в ТЗ)</w:t>
      </w:r>
    </w:p>
    <w:p>
      <w:r>
        <w:t>Формулировки, которые защищают обе стороны от споров:</w:t>
      </w:r>
    </w:p>
    <w:p>
      <w:pPr>
        <w:pStyle w:val="IntenseQuote"/>
      </w:pPr>
      <w:r>
        <w:t>* Метрики измеряются на отложенной части корпуса (документы обучающей и</w:t>
      </w:r>
    </w:p>
    <w:p>
      <w:pPr>
        <w:pStyle w:val="IntenseQuote"/>
      </w:pPr>
      <w:r>
        <w:t xml:space="preserve">  тестовой частей не пересекаются), объём и разметка описываются в отчёте.</w:t>
      </w:r>
    </w:p>
    <w:p>
      <w:pPr>
        <w:pStyle w:val="IntenseQuote"/>
      </w:pPr>
      <w:r>
        <w:t>* Основные метрики: precision/recall/F1 по токенам; precision/recall/F1 по</w:t>
      </w:r>
    </w:p>
    <w:p>
      <w:pPr>
        <w:pStyle w:val="IntenseQuote"/>
      </w:pPr>
      <w:r>
        <w:t xml:space="preserve">  фрагментам при IoU ≥ 0.5; precision/recall/F1 по символам; средняя</w:t>
      </w:r>
    </w:p>
    <w:p>
      <w:pPr>
        <w:pStyle w:val="IntenseQuote"/>
      </w:pPr>
      <w:r>
        <w:t xml:space="preserve">  абсолютная ошибка оценки доли участия ИИ.</w:t>
      </w:r>
    </w:p>
    <w:p>
      <w:pPr>
        <w:pStyle w:val="IntenseQuote"/>
      </w:pPr>
      <w:r>
        <w:t>* Ограничение на долю ложных срабатываний: FPR ≤ 0.10; достигнутый FPR</w:t>
      </w:r>
    </w:p>
    <w:p>
      <w:pPr>
        <w:pStyle w:val="IntenseQuote"/>
      </w:pPr>
      <w:r>
        <w:t xml:space="preserve">  указывается в отчёте наряду с recall.</w:t>
      </w:r>
    </w:p>
    <w:p>
      <w:pPr>
        <w:pStyle w:val="IntenseQuote"/>
      </w:pPr>
      <w:r>
        <w:t>* «Точность определения авторства» не используется как метрика: метод даёт</w:t>
      </w:r>
    </w:p>
    <w:p>
      <w:pPr>
        <w:pStyle w:val="IntenseQuote"/>
      </w:pPr>
      <w:r>
        <w:t xml:space="preserve">  вероятностную оценку, а не доказательство авторства.</w:t>
      </w:r>
    </w:p>
    <w:p>
      <w:pPr>
        <w:pStyle w:val="Heading2"/>
      </w:pPr>
      <w:r>
        <w:t>7. Востребованность</w:t>
      </w:r>
    </w:p>
    <w:p>
      <w:r>
        <w:t>Осторожные формулировки без непроверяемых рыночных цифр:</w:t>
      </w:r>
    </w:p>
    <w:p>
      <w:pPr>
        <w:pStyle w:val="IntenseQuote"/>
      </w:pPr>
      <w:r>
        <w:t>Потребность в решении возникает в редакциях и издательствах, в</w:t>
      </w:r>
    </w:p>
    <w:p>
      <w:pPr>
        <w:pStyle w:val="IntenseQuote"/>
      </w:pPr>
      <w:r>
        <w:t>образовательных организациях при проверке письменных работ, в</w:t>
      </w:r>
    </w:p>
    <w:p>
      <w:pPr>
        <w:pStyle w:val="IntenseQuote"/>
      </w:pPr>
      <w:r>
        <w:t>научно-технической экспертизе и во внутреннем контроле качества</w:t>
      </w:r>
    </w:p>
    <w:p>
      <w:pPr>
        <w:pStyle w:val="IntenseQuote"/>
      </w:pPr>
      <w:r>
        <w:t>документов. Ключевое требование заказчиков — локальная обработка текста</w:t>
      </w:r>
    </w:p>
    <w:p>
      <w:pPr>
        <w:pStyle w:val="IntenseQuote"/>
      </w:pPr>
      <w:r>
        <w:t>без передачи данных внешним сервисам и объяснимость результата (какие</w:t>
      </w:r>
    </w:p>
    <w:p>
      <w:pPr>
        <w:pStyle w:val="IntenseQuote"/>
      </w:pPr>
      <w:r>
        <w:t>именно фрагменты и почему отнесены к машинным), чем и определяется</w:t>
      </w:r>
    </w:p>
    <w:p>
      <w:pPr>
        <w:pStyle w:val="IntenseQuote"/>
      </w:pPr>
      <w:r>
        <w:t>выбранная архитектура.</w:t>
      </w:r>
    </w:p>
    <w:p>
      <w:r>
        <w:t>Если нужны рыночные показатели — вписывайте только со ссылкой на источник</w:t>
      </w:r>
    </w:p>
    <w:p>
      <w:r>
        <w:t>(год, отчёт, страница). Отсутствие ссылки — типовое замечание экспертизы.</w:t>
      </w:r>
    </w:p>
    <w:p>
      <w:pPr>
        <w:pStyle w:val="Heading2"/>
      </w:pPr>
      <w:r>
        <w:t>8. Задел, партнёры, публикации</w:t>
      </w:r>
    </w:p>
    <w:p>
      <w:r>
        <w:t>Заполните по фактическому состоянию; формулировки под ваш случай:</w:t>
      </w:r>
    </w:p>
    <w:p>
      <w:pPr>
        <w:pStyle w:val="IntenseQuote"/>
      </w:pPr>
      <w:r>
        <w:t>* Задел: рабочий программный модуль, демонстрационный корпус с разметкой,</w:t>
      </w:r>
    </w:p>
    <w:p>
      <w:pPr>
        <w:pStyle w:val="IntenseQuote"/>
      </w:pPr>
      <w:r>
        <w:t xml:space="preserve">  отчёт о качестве, автотесты, документация, однофайловая сборка.</w:t>
      </w:r>
    </w:p>
    <w:p>
      <w:pPr>
        <w:pStyle w:val="IntenseQuote"/>
      </w:pPr>
      <w:r>
        <w:t xml:space="preserve">* Партнёр (роль): </w:t>
      </w:r>
      <w:r>
        <w:rPr>
          <w:rFonts w:ascii="Consolas" w:hAnsi="Consolas"/>
          <w:color w:val="224488"/>
          <w:sz w:val="19"/>
        </w:rPr>
        <w:t>«…»</w:t>
      </w:r>
      <w:r>
        <w:t xml:space="preserve"> — </w:t>
      </w:r>
      <w:r>
        <w:rPr>
          <w:rFonts w:ascii="Consolas" w:hAnsi="Consolas"/>
          <w:color w:val="224488"/>
          <w:sz w:val="19"/>
        </w:rPr>
        <w:t>«…»</w:t>
      </w:r>
      <w:r>
        <w:t xml:space="preserve">; наличие письма поддержки: </w:t>
      </w:r>
      <w:r>
        <w:rPr>
          <w:rFonts w:ascii="Consolas" w:hAnsi="Consolas"/>
          <w:color w:val="224488"/>
          <w:sz w:val="19"/>
        </w:rPr>
        <w:t>да/нет</w:t>
      </w:r>
      <w:r>
        <w:t xml:space="preserve">, дата </w:t>
      </w:r>
      <w:r>
        <w:rPr>
          <w:rFonts w:ascii="Consolas" w:hAnsi="Consolas"/>
          <w:color w:val="224488"/>
          <w:sz w:val="19"/>
        </w:rPr>
        <w:t>«…»</w:t>
      </w:r>
      <w:r>
        <w:t>.</w:t>
      </w:r>
    </w:p>
    <w:p>
      <w:pPr>
        <w:pStyle w:val="IntenseQuote"/>
      </w:pPr>
      <w:r>
        <w:t xml:space="preserve">* Публикации по теме: </w:t>
      </w:r>
      <w:r>
        <w:rPr>
          <w:rFonts w:ascii="Consolas" w:hAnsi="Consolas"/>
          <w:color w:val="224488"/>
          <w:sz w:val="19"/>
        </w:rPr>
        <w:t>«…»</w:t>
      </w:r>
      <w:r>
        <w:t xml:space="preserve"> (авторы, издание, год, DOI/ссылка).</w:t>
      </w:r>
    </w:p>
    <w:p>
      <w:pPr>
        <w:pStyle w:val="IntenseQuote"/>
      </w:pPr>
      <w:r>
        <w:t xml:space="preserve">* ВКР/НИР, если студенческий трек: </w:t>
      </w:r>
      <w:r>
        <w:rPr>
          <w:rFonts w:ascii="Consolas" w:hAnsi="Consolas"/>
          <w:color w:val="224488"/>
          <w:sz w:val="19"/>
        </w:rPr>
        <w:t>«…»</w:t>
      </w:r>
      <w:r>
        <w:t>.</w:t>
      </w:r>
    </w:p>
    <w:p>
      <w:r>
        <w:t>Не оставляйте раздел пустым и не указывайте партнёров без письма: это</w:t>
      </w:r>
    </w:p>
    <w:p>
      <w:r>
        <w:t>проверяется.</w:t>
      </w:r>
    </w:p>
    <w:p>
      <w:pPr>
        <w:pStyle w:val="Heading2"/>
      </w:pPr>
      <w:r>
        <w:t>9. Риски и их снятие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Риск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Снятие</w:t>
            </w:r>
          </w:p>
        </w:tc>
      </w:tr>
      <w:tr>
        <w:tc>
          <w:tcPr>
            <w:tcW w:type="dxa" w:w="4320"/>
          </w:tcPr>
          <w:p>
            <w:r/>
            <w:r>
              <w:t>Смена поколений моделей снижает качество детекции</w:t>
            </w:r>
          </w:p>
        </w:tc>
        <w:tc>
          <w:tcPr>
            <w:tcW w:type="dxa" w:w="4320"/>
          </w:tcPr>
          <w:p>
            <w:r/>
            <w:r>
              <w:t>Калибровка переобучается на новом корпусе; признаки (энтропия внимания, плотность окружения) не привязаны к конкретной модели</w:t>
            </w:r>
          </w:p>
        </w:tc>
      </w:tr>
      <w:tr>
        <w:tc>
          <w:tcPr>
            <w:tcW w:type="dxa" w:w="4320"/>
          </w:tcPr>
          <w:p>
            <w:r/>
            <w:r>
              <w:t>Ложные срабатывания на человеческом тексте</w:t>
            </w:r>
          </w:p>
        </w:tc>
        <w:tc>
          <w:tcPr>
            <w:tcW w:type="dxa" w:w="4320"/>
          </w:tcPr>
          <w:p>
            <w:r/>
            <w:r>
              <w:t>Порог выбирается при ограничении FPR ≤ 0.1; в интерфейсе показываются фрагменты и вероятности, а не только вердикт</w:t>
            </w:r>
          </w:p>
        </w:tc>
      </w:tr>
      <w:tr>
        <w:tc>
          <w:tcPr>
            <w:tcW w:type="dxa" w:w="4320"/>
          </w:tcPr>
          <w:p>
            <w:r/>
            <w:r>
              <w:t>Короткие тексты дают нестабильную оценку</w:t>
            </w:r>
          </w:p>
        </w:tc>
        <w:tc>
          <w:tcPr>
            <w:tcW w:type="dxa" w:w="4320"/>
          </w:tcPr>
          <w:p>
            <w:r/>
            <w:r>
              <w:t>В отчёте указывается минимальная длина анализа; короткие тексты помечаются как низконадёжные</w:t>
            </w:r>
          </w:p>
        </w:tc>
      </w:tr>
      <w:tr>
        <w:tc>
          <w:tcPr>
            <w:tcW w:type="dxa" w:w="4320"/>
          </w:tcPr>
          <w:p>
            <w:r/>
            <w:r>
              <w:t>Режим без зависимостей принимают за боевой</w:t>
            </w:r>
          </w:p>
        </w:tc>
        <w:tc>
          <w:tcPr>
            <w:tcW w:type="dxa" w:w="4320"/>
          </w:tcPr>
          <w:p>
            <w:r/>
            <w:r>
              <w:t>В каждом ответе демо-режима выводится предупреждение, в README — прямое ограничение</w:t>
            </w:r>
          </w:p>
        </w:tc>
      </w:tr>
    </w:tbl>
    <w:p/>
    <w:p>
      <w:pPr>
        <w:pStyle w:val="Heading2"/>
      </w:pPr>
      <w:r>
        <w:t>10. Чек-лист перед подачей (типовые замечания экспертизы)</w:t>
      </w:r>
    </w:p>
    <w:p>
      <w:r>
        <w:t>Это список мест, где чаще всего ловят заявки. Пройдите его по своему тексту —</w:t>
      </w:r>
    </w:p>
    <w:p>
      <w:r>
        <w:t>я не могу проверить ваш документ, пока не увижу его.</w:t>
      </w:r>
    </w:p>
    <w:p>
      <w:pPr>
        <w:pStyle w:val="ListBullet"/>
      </w:pPr>
      <w:r>
        <w:t>☐ Ни одна фраза не обрезана на полуслове; аннотация заканчивается</w:t>
      </w:r>
    </w:p>
    <w:p>
      <w:r>
        <w:t xml:space="preserve">      законченным предложением.</w:t>
      </w:r>
    </w:p>
    <w:p>
      <w:pPr>
        <w:pStyle w:val="ListBullet"/>
      </w:pPr>
      <w:r>
        <w:t>☐ Нет абзацев, продублированных дважды (типовая ошибка копирования).</w:t>
      </w:r>
    </w:p>
    <w:p>
      <w:pPr>
        <w:pStyle w:val="ListBullet"/>
      </w:pPr>
      <w:r>
        <w:t>☐ Названия разделов и работ совпадают с формулировками ТЗ дословно.</w:t>
      </w:r>
    </w:p>
    <w:p>
      <w:pPr>
        <w:pStyle w:val="ListBullet"/>
      </w:pPr>
      <w:r>
        <w:t>☐ Нумерация работ сквозная, без повторов вида «6) … 6) …».</w:t>
      </w:r>
    </w:p>
    <w:p>
      <w:pPr>
        <w:pStyle w:val="ListBullet"/>
      </w:pPr>
      <w:r>
        <w:t>☐ Календарный план содержит только работы (без «подача заявки»,</w:t>
      </w:r>
    </w:p>
    <w:p>
      <w:r>
        <w:t xml:space="preserve">      «аналитический обзор», «участие в конференции»), если это не требуется</w:t>
      </w:r>
    </w:p>
    <w:p>
      <w:r>
        <w:t xml:space="preserve">      регламентом.</w:t>
      </w:r>
    </w:p>
    <w:p>
      <w:pPr>
        <w:pStyle w:val="ListBullet"/>
      </w:pPr>
      <w:r>
        <w:t>☐ Сроки по этапам не выходят за срок договора и стыкуются с отчётностью.</w:t>
      </w:r>
    </w:p>
    <w:p>
      <w:pPr>
        <w:pStyle w:val="ListBullet"/>
      </w:pPr>
      <w:r>
        <w:t>☐ НПТЛ/классификатор выбраны из списка и соответствуют теме (детекция</w:t>
      </w:r>
    </w:p>
    <w:p>
      <w:r>
        <w:t xml:space="preserve">      ИИ-текста — это доверенный ИИ и обработка текстов, а не «геномный</w:t>
      </w:r>
    </w:p>
    <w:p>
      <w:r>
        <w:t xml:space="preserve">      анализ» и подобное).</w:t>
      </w:r>
    </w:p>
    <w:p>
      <w:pPr>
        <w:pStyle w:val="ListBullet"/>
      </w:pPr>
      <w:r>
        <w:t>☐ Метрики: указано, как именно измеряются; нет «точности» без метода</w:t>
      </w:r>
    </w:p>
    <w:p>
      <w:r>
        <w:t xml:space="preserve">      измерения; нет чисел без источника.</w:t>
      </w:r>
    </w:p>
    <w:p>
      <w:pPr>
        <w:pStyle w:val="ListBullet"/>
      </w:pPr>
      <w:r>
        <w:t>☐ Партнёры названы единообразно во всех разделах; роль совпадает с</w:t>
      </w:r>
    </w:p>
    <w:p>
      <w:r>
        <w:t xml:space="preserve">      приложенным письмом.</w:t>
      </w:r>
    </w:p>
    <w:p>
      <w:pPr>
        <w:pStyle w:val="ListBullet"/>
      </w:pPr>
      <w:r>
        <w:t>☐ Задел описан в фактическом состоянии (что уже сделано, а не что</w:t>
      </w:r>
    </w:p>
    <w:p>
      <w:r>
        <w:t xml:space="preserve">      планируется).</w:t>
      </w:r>
    </w:p>
    <w:p>
      <w:pPr>
        <w:pStyle w:val="ListBullet"/>
      </w:pPr>
      <w:r>
        <w:t>☐ Публикации и ВКР указаны с авторами, изданиями и годами.</w:t>
      </w:r>
    </w:p>
    <w:p>
      <w:pPr>
        <w:pStyle w:val="ListBullet"/>
      </w:pPr>
      <w:r>
        <w:t>☐ Единый формат: «Шт./мес», «руб.», «чел.», даты, место с запятой/без —</w:t>
      </w:r>
    </w:p>
    <w:p>
      <w:r>
        <w:t xml:space="preserve">      одинаково по всему документу.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Что нужно от вас, чтобы получить исправленную редакцию заявки</w:t>
      </w:r>
    </w:p>
    <w:p>
      <w:pPr>
        <w:pStyle w:val="ListNumber"/>
      </w:pPr>
      <w:r>
        <w:t>PDF или текст заявки (то, что подаётся в АС «Фонд-М»).</w:t>
      </w:r>
    </w:p>
    <w:p>
      <w:pPr>
        <w:pStyle w:val="ListNumber"/>
      </w:pPr>
      <w:r>
        <w:t>ТЗ/договор — разделы с наименованием работ, сроками и показателями.</w:t>
      </w:r>
    </w:p>
    <w:p>
      <w:pPr>
        <w:pStyle w:val="ListNumber"/>
      </w:pPr>
      <w:r>
        <w:t>Расшифровать сокращения и реквизиты: номер заявки/договора, конкурс,</w:t>
      </w:r>
    </w:p>
    <w:p>
      <w:r>
        <w:t xml:space="preserve">   организация, руководитель.</w:t>
      </w:r>
    </w:p>
    <w:p>
      <w:pPr>
        <w:pStyle w:val="ListNumber"/>
      </w:pPr>
      <w:r>
        <w:t>Данные для разделов 8: партнёры, письмо поддержки, публикации, ВКР.</w:t>
      </w:r>
    </w:p>
    <w:p>
      <w:r>
        <w:t>После этого я сделаю три вещи: сверю поле за полем (таблица</w:t>
      </w:r>
    </w:p>
    <w:p>
      <w:r>
        <w:t>«было → стало → почему»), соберу финальный текст заявки с готовыми</w:t>
      </w:r>
    </w:p>
    <w:p>
      <w:r>
        <w:t>формулировками и приложу список расхождений с ТЗ, которые нужно устранить</w:t>
      </w:r>
    </w:p>
    <w:p>
      <w:r>
        <w:t>до подачи.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