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Извлечение из договора о предоставлении гранта (проект № 117812)</w:t>
      </w:r>
    </w:p>
    <w:p>
      <w:r>
        <w:rPr>
          <w:b/>
        </w:rPr>
        <w:t>Что это за файл.</w:t>
      </w:r>
      <w:r>
        <w:t xml:space="preserve"> Содержательная часть подписанного договора — только та, из</w:t>
      </w:r>
    </w:p>
    <w:p>
      <w:r>
        <w:t>которой вытекают требования к работе: техническое задание, календарный план,</w:t>
      </w:r>
    </w:p>
    <w:p>
      <w:r>
        <w:t>правила отчётности и сроки. Файл нужен, чтобы требования были доступны читателю</w:t>
      </w:r>
    </w:p>
    <w:p>
      <w:r>
        <w:t>репозитория, а подписанный PDF с персональными данными в публичном репозитории</w:t>
      </w:r>
    </w:p>
    <w:p>
      <w:r>
        <w:t>не хранился (см. «Что не перенесено» ниже).</w:t>
      </w:r>
    </w:p>
    <w:p>
      <w:r>
        <w:rPr>
          <w:b/>
        </w:rPr>
        <w:t>Источник.</w:t>
      </w:r>
      <w:r>
        <w:t xml:space="preserve"> </w:t>
      </w:r>
      <w:r>
        <w:rPr>
          <w:rFonts w:ascii="Consolas" w:hAnsi="Consolas"/>
          <w:color w:val="224488"/>
          <w:sz w:val="19"/>
        </w:rPr>
        <w:t>Договор_0117812 (25).pdf</w:t>
      </w:r>
      <w:r>
        <w:t xml:space="preserve"> — 32 страницы, 5 019 351 байт,</w:t>
      </w:r>
    </w:p>
    <w:p>
      <w:r>
        <w:t xml:space="preserve">SHA-256 </w:t>
      </w:r>
      <w:r>
        <w:rPr>
          <w:rFonts w:ascii="Consolas" w:hAnsi="Consolas"/>
          <w:color w:val="224488"/>
          <w:sz w:val="19"/>
        </w:rPr>
        <w:t>e5eb6ad8522fa70135f75bf22b0b5f3464fcc17d9c6f04d81b48976a42e69cd5</w:t>
      </w:r>
      <w:r>
        <w:t>.</w:t>
      </w:r>
    </w:p>
    <w:p>
      <w:r>
        <w:t>Текст извлечён программно (pypdf) командой:</w:t>
      </w:r>
    </w:p>
    <w:p>
      <w:r>
        <w:t>```bash</w:t>
      </w:r>
    </w:p>
    <w:p>
      <w:r>
        <w:t>python -c "from pypdf import PdfReader; print('n'.join((p.extract_text() or '') for p in PdfReader('Договор_0117812 (25).pdf').pages))"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rPr>
          <w:b/>
        </w:rPr>
        <w:t>Реквизиты (без персональных данных).</w:t>
      </w:r>
      <w:r>
        <w:t xml:space="preserve"> Договор (соглашение) № 20478ГУ/2026,</w:t>
      </w:r>
    </w:p>
    <w:p>
      <w:r>
        <w:t>г. Москва, 13 октября 2026 г. Грантодатель — Федеральное государственное</w:t>
      </w:r>
    </w:p>
    <w:p>
      <w:r>
        <w:t>бюджетное учреждение «Фонд содействия развитию малых форм предприятий в</w:t>
      </w:r>
    </w:p>
    <w:p>
      <w:r>
        <w:t>научно-технической сфере» (Фонд содействия инновациям). Получатель гранта —</w:t>
      </w:r>
    </w:p>
    <w:p>
      <w:r>
        <w:t>физическое лицо; его персональные данные в этот файл не переносятся. Конкурс —</w:t>
      </w:r>
    </w:p>
    <w:p>
      <w:r>
        <w:t>«УМНИК-2026 (очередь 1)». Проект № 117812 (в PDF встречается также как 0117812).</w:t>
      </w:r>
    </w:p>
    <w:p>
      <w:r>
        <w:rPr>
          <w:b/>
        </w:rPr>
        <w:t>Тема НИР</w:t>
      </w:r>
      <w:r>
        <w:t xml:space="preserve"> (п. 1.1 договора, Приложение № 3): «разработка программного модуля</w:t>
      </w:r>
    </w:p>
    <w:p>
      <w:r>
        <w:t>span-уровневой верификации контента с определением доли участия ии для</w:t>
      </w:r>
    </w:p>
    <w:p>
      <w:r>
        <w:t>корпоративных систем».</w:t>
      </w:r>
    </w:p>
    <w:p>
      <w:pPr>
        <w:pStyle w:val="Heading2"/>
      </w:pPr>
      <w:r>
        <w:t>1. Техническое задание (Приложение № 3, стр. 11–13)</w:t>
      </w:r>
    </w:p>
    <w:p>
      <w:r>
        <w:t>Цель: разработка метода и программного продукта для локальной проверки</w:t>
      </w:r>
    </w:p>
    <w:p>
      <w:r>
        <w:t>соответствия русскоязычного ответа документу-источнику с выделением</w:t>
      </w:r>
    </w:p>
    <w:p>
      <w:r>
        <w:t>неподтверждённых фрагментов и расчётом оценки риска.</w:t>
      </w:r>
    </w:p>
    <w:p>
      <w:r>
        <w:t>Задачи (п. 2 ТЗ): методика разметки пар «документ — ответ»; информативность</w:t>
      </w:r>
    </w:p>
    <w:p>
      <w:r>
        <w:t>признаков внимания языковой модели и контекстных векторных представлений;</w:t>
      </w:r>
    </w:p>
    <w:p>
      <w:r>
        <w:t>алгоритм объединения признаков, риска по токенам и границ спорных фрагментов;</w:t>
      </w:r>
    </w:p>
    <w:p>
      <w:r>
        <w:t>оценка качества и устойчивости на независимых по документам выборках (F1, FPR,</w:t>
      </w:r>
    </w:p>
    <w:p>
      <w:r>
        <w:t>локализация фрагментов); лабораторный образец и его функциональные испытания.</w:t>
      </w:r>
    </w:p>
    <w:p>
      <w:pPr>
        <w:pStyle w:val="Heading3"/>
      </w:pPr>
      <w:r>
        <w:t>1.1 Числовые требования (п. 4.1, «Характеристики» 1–9, стр. 11–12)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Требование (формулировка договора)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Входные данные — текст документа и текст ответа в UTF-8</w:t>
            </w:r>
          </w:p>
        </w:tc>
        <w:tc>
          <w:tcPr>
            <w:tcW w:type="dxa" w:w="2880"/>
          </w:tcPr>
          <w:p>
            <w:r/>
            <w:r>
              <w:t xml:space="preserve">максимум </w:t>
            </w:r>
            <w:r>
              <w:rPr>
                <w:b/>
              </w:rPr>
              <w:t>2 000 000 знаков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Выходные данные — оценка риска и список фрагментов с координатами (номера первого и последнего символа), меткой и уровнем уверенности</w:t>
            </w:r>
          </w:p>
        </w:tc>
        <w:tc>
          <w:tcPr>
            <w:tcW w:type="dxa" w:w="2880"/>
          </w:tcPr>
          <w:p>
            <w:r/>
            <w:r>
              <w:t xml:space="preserve">риск </w:t>
            </w:r>
            <w:r>
              <w:rPr>
                <w:b/>
              </w:rPr>
              <w:t>от 0 до 1</w:t>
            </w:r>
            <w:r>
              <w:t xml:space="preserve">, уверенность </w:t>
            </w:r>
            <w:r>
              <w:rPr>
                <w:b/>
              </w:rPr>
              <w:t>от 0 до 1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Признаки на токен, включая энтропию внимания, долю внимания на документ и косинусную близость векторных представлений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пять</w:t>
            </w:r>
            <w:r>
              <w:t xml:space="preserve"> числовых признаков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Оценка доли участия языковой модели с калибровкой на наборе с известной долей смеси текстов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от 0 до 1</w:t>
            </w:r>
            <w:r>
              <w:t xml:space="preserve">, шаг смеси </w:t>
            </w:r>
            <w:r>
              <w:rPr>
                <w:b/>
              </w:rPr>
              <w:t>0,25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Показатели качества — precision, recall, F1 и доля ложных срабатываний по токенам, ответам и фрагментам при пересечении границ</w:t>
            </w:r>
          </w:p>
        </w:tc>
        <w:tc>
          <w:tcPr>
            <w:tcW w:type="dxa" w:w="2880"/>
          </w:tcPr>
          <w:p>
            <w:r/>
            <w:r>
              <w:t xml:space="preserve">пересечение границ </w:t>
            </w:r>
            <w:r>
              <w:rPr>
                <w:b/>
              </w:rPr>
              <w:t>не ниже 0,5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Целевой ориентир на отложенной по документам части набора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F1 не ниже 0,50</w:t>
            </w:r>
            <w:r>
              <w:t xml:space="preserve"> при </w:t>
            </w:r>
            <w:r>
              <w:rPr>
                <w:b/>
              </w:rPr>
              <w:t>FPR не выше 0,40</w:t>
            </w:r>
            <w:r>
              <w:t xml:space="preserve">, набор </w:t>
            </w:r>
            <w:r>
              <w:rPr>
                <w:b/>
              </w:rPr>
              <w:t>1200 пар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Быстродействие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не более 0,03 с на 1 000 знаков</w:t>
            </w:r>
            <w:r>
              <w:t xml:space="preserve">; </w:t>
            </w:r>
            <w:r>
              <w:rPr>
                <w:b/>
              </w:rPr>
              <w:t>2 000 000 знаков — не более 60 с</w:t>
            </w:r>
            <w:r>
              <w:t xml:space="preserve">; </w:t>
            </w:r>
            <w:r>
              <w:rPr>
                <w:b/>
              </w:rPr>
              <w:t>50 000 знаков — не более 1 с</w:t>
            </w:r>
            <w:r>
              <w:t xml:space="preserve"> (п. 4.2, стр. 13)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Интерфейсы</w:t>
            </w:r>
          </w:p>
        </w:tc>
        <w:tc>
          <w:tcPr>
            <w:tcW w:type="dxa" w:w="2880"/>
          </w:tcPr>
          <w:p>
            <w:r/>
            <w:r>
              <w:t>командная строка, локальный веб-интерфейс, программный интерфейс HTTP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Поставка</w:t>
            </w:r>
          </w:p>
        </w:tc>
        <w:tc>
          <w:tcPr>
            <w:tcW w:type="dxa" w:w="2880"/>
          </w:tcPr>
          <w:p>
            <w:r/>
            <w:r>
              <w:t>автономный файл для Windows и переносимый пакет для Python 3.10 и выше</w:t>
            </w:r>
          </w:p>
        </w:tc>
      </w:tr>
    </w:tbl>
    <w:p/>
    <w:p>
      <w:r>
        <w:t>Обращений к внешним сервисам не будет (п. 4.1); сверка фрагментов с</w:t>
      </w:r>
    </w:p>
    <w:p>
      <w:r>
        <w:t>первоисточником и решение о нарушении остаются за пользователем (п. 4.2).</w:t>
      </w:r>
    </w:p>
    <w:p>
      <w:pPr>
        <w:pStyle w:val="Heading3"/>
      </w:pPr>
      <w:r>
        <w:t>1.2 Конструктивные требования (п. 4.2, стр. 12–13)</w:t>
      </w:r>
    </w:p>
    <w:p>
      <w:pPr>
        <w:pStyle w:val="ListBullet"/>
      </w:pPr>
      <w:r>
        <w:t>Поставка: один исполняемый файл под Windows 10 и новее объёмом **не более</w:t>
      </w:r>
    </w:p>
    <w:p>
      <w:r>
        <w:t xml:space="preserve">  9 МБ</w:t>
      </w:r>
      <w:r>
        <w:rPr>
          <w:b/>
        </w:rPr>
        <w:t xml:space="preserve"> либо переносимый пакет объёмом </w:t>
      </w:r>
      <w:r>
        <w:t>не более 0,6 МБ** для Python 3.10+.</w:t>
      </w:r>
    </w:p>
    <w:p>
      <w:pPr>
        <w:pStyle w:val="ListBullet"/>
      </w:pPr>
      <w:r>
        <w:t xml:space="preserve">Интерфейс: локальный веб-интерфейс по адресу </w:t>
      </w:r>
      <w:r>
        <w:rPr>
          <w:b/>
        </w:rPr>
        <w:t>http://localhost:8765</w:t>
      </w:r>
      <w:r>
        <w:t>;</w:t>
      </w:r>
    </w:p>
    <w:p>
      <w:r>
        <w:t xml:space="preserve">  установка в систему не требуется, изменения в реестр не вносятся, службы не</w:t>
      </w:r>
    </w:p>
    <w:p>
      <w:r>
        <w:t xml:space="preserve">  регистрируются.</w:t>
      </w:r>
    </w:p>
    <w:p>
      <w:pPr>
        <w:pStyle w:val="ListBullet"/>
      </w:pPr>
      <w:r>
        <w:t>Сборка: автоматически из исходного кода на сервере непрерывной интеграции;</w:t>
      </w:r>
    </w:p>
    <w:p>
      <w:r>
        <w:t xml:space="preserve">  результат проходит проверку, файл сопровождается контрольной суммой </w:t>
      </w:r>
      <w:r>
        <w:rPr>
          <w:b/>
        </w:rPr>
        <w:t>SHA-256</w:t>
      </w:r>
      <w:r>
        <w:t>.</w:t>
      </w:r>
    </w:p>
    <w:p>
      <w:pPr>
        <w:pStyle w:val="ListBullet"/>
      </w:pPr>
      <w:r>
        <w:t xml:space="preserve">Режим признаков языковой модели: библиотеки Python объёмом </w:t>
      </w:r>
      <w:r>
        <w:rPr>
          <w:b/>
        </w:rPr>
        <w:t>около 500 МБ</w:t>
      </w:r>
      <w:r>
        <w:t xml:space="preserve"> и</w:t>
      </w:r>
    </w:p>
    <w:p>
      <w:r>
        <w:t xml:space="preserve">  файл весов модели объёмом </w:t>
      </w:r>
      <w:r>
        <w:rPr>
          <w:b/>
        </w:rPr>
        <w:t>около 530 МБ</w:t>
      </w:r>
      <w:r>
        <w:t>, сохраняемые локально заранее.</w:t>
      </w:r>
    </w:p>
    <w:p>
      <w:pPr>
        <w:pStyle w:val="ListBullet"/>
      </w:pPr>
      <w:r>
        <w:t xml:space="preserve">Хранение: </w:t>
      </w:r>
      <w:r>
        <w:rPr>
          <w:b/>
        </w:rPr>
        <w:t>не более 100 МБ</w:t>
      </w:r>
      <w:r>
        <w:t xml:space="preserve"> без весов модели и </w:t>
      </w:r>
      <w:r>
        <w:rPr>
          <w:b/>
        </w:rPr>
        <w:t>не более 1,5 ГБ</w:t>
      </w:r>
      <w:r>
        <w:t xml:space="preserve"> с весами;</w:t>
      </w:r>
    </w:p>
    <w:p>
      <w:r>
        <w:t xml:space="preserve">  документы пользователя в поставку не входят; целостность — сверкой SHA-256.</w:t>
      </w:r>
    </w:p>
    <w:p>
      <w:pPr>
        <w:pStyle w:val="ListBullet"/>
      </w:pPr>
      <w:r>
        <w:t>Транспортировка: копированием на разрешённый носитель, специальная маркировка</w:t>
      </w:r>
    </w:p>
    <w:p>
      <w:r>
        <w:t xml:space="preserve">  не требуется, перед установкой контрольная сумма сверяется организацией.</w:t>
      </w:r>
    </w:p>
    <w:p>
      <w:pPr>
        <w:pStyle w:val="ListBullet"/>
      </w:pPr>
      <w:r>
        <w:t xml:space="preserve">Эксплуатация: процессор </w:t>
      </w:r>
      <w:r>
        <w:rPr>
          <w:b/>
        </w:rPr>
        <w:t>x86-64</w:t>
      </w:r>
      <w:r>
        <w:t xml:space="preserve">, ядер </w:t>
      </w:r>
      <w:r>
        <w:rPr>
          <w:b/>
        </w:rPr>
        <w:t>не менее двух</w:t>
      </w:r>
      <w:r>
        <w:t>, оперативная память</w:t>
      </w:r>
    </w:p>
    <w:p>
      <w:r>
        <w:t xml:space="preserve">  </w:t>
      </w:r>
      <w:r>
        <w:rPr>
          <w:b/>
        </w:rPr>
        <w:t>не менее 4 ГБ</w:t>
      </w:r>
      <w:r>
        <w:t xml:space="preserve"> (</w:t>
      </w:r>
      <w:r>
        <w:rPr>
          <w:b/>
        </w:rPr>
        <w:t>не менее 8 ГБ</w:t>
      </w:r>
      <w:r>
        <w:t xml:space="preserve"> с весами модели), свободное место на</w:t>
      </w:r>
    </w:p>
    <w:p>
      <w:r>
        <w:t xml:space="preserve">  диске </w:t>
      </w:r>
      <w:r>
        <w:rPr>
          <w:b/>
        </w:rPr>
        <w:t>не менее 1,5 ГБ</w:t>
      </w:r>
      <w:r>
        <w:t>; видеокарта и внешний сетевой доступ не потребуются.</w:t>
      </w:r>
    </w:p>
    <w:p>
      <w:pPr>
        <w:pStyle w:val="ListBullet"/>
      </w:pPr>
      <w:r>
        <w:t>Обновление: заменой файла и файлов весов целиком, предыдущая версия сохраняется</w:t>
      </w:r>
    </w:p>
    <w:p>
      <w:r>
        <w:t xml:space="preserve">  до проверки новой.</w:t>
      </w:r>
    </w:p>
    <w:p>
      <w:pPr>
        <w:pStyle w:val="ListBullet"/>
      </w:pPr>
      <w:r>
        <w:t>Прочее: п. 5 — патентная защита (часть четвёртая ГК РФ); п. 6 — получатель</w:t>
      </w:r>
    </w:p>
    <w:p>
      <w:r>
        <w:t xml:space="preserve">  гранта должен быть автором или входить в число авторов РИД; п. 7 — отчётность по</w:t>
      </w:r>
    </w:p>
    <w:p>
      <w:r>
        <w:t xml:space="preserve">  Приложению № 10; п. 8 — срок выполнения работ </w:t>
      </w:r>
      <w:r>
        <w:rPr>
          <w:b/>
        </w:rPr>
        <w:t>12 месяцев</w:t>
      </w:r>
      <w:r>
        <w:t>.</w:t>
      </w:r>
    </w:p>
    <w:p>
      <w:pPr>
        <w:pStyle w:val="Heading2"/>
      </w:pPr>
      <w:r>
        <w:t>2. Календарный план (Приложение № 4, стр. 14–15)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Работы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Срок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Сумма, руб.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Отчётность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1) влияние характеристик внимания на выявление неподтверждённых фрагментов; 2) экспериментальный набор пар «документ — ответ» с разметкой; 3) информативность энтропии внимания, доли внимания на документ и близости векторных представлений; 4) способ объединения признаков, риск по токенам и границы фрагментов; 5) вычислительные эксперименты на отложенной по документам части и оценка влияния признаков и слоя модели</w:t>
            </w:r>
          </w:p>
        </w:tc>
        <w:tc>
          <w:tcPr>
            <w:tcW w:type="dxa" w:w="1728"/>
          </w:tcPr>
          <w:p>
            <w:r/>
            <w:r>
              <w:t>6 месяцев</w:t>
            </w:r>
          </w:p>
        </w:tc>
        <w:tc>
          <w:tcPr>
            <w:tcW w:type="dxa" w:w="1728"/>
          </w:tcPr>
          <w:p>
            <w:r/>
            <w:r>
              <w:t>200 000</w:t>
            </w:r>
          </w:p>
        </w:tc>
        <w:tc>
          <w:tcPr>
            <w:tcW w:type="dxa" w:w="1728"/>
          </w:tcPr>
          <w:p>
            <w:r/>
            <w:r>
              <w:t>отчёт о выполнении НИР (промежуточный); финансовый отчёт; акт о выполнении Работ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1) устойчивость при числовых подменах, противоречии источнику, изменении формулировок и пропуске сведений; 2) процедура обучения и калибровки с выбором порога при заданном уровне ложных срабатываний; 3) программное средство локального сопоставления ответа с документом; 4) лабораторный образец в виде автономного .exe для Windows; 5) функциональные испытания на контрольной выборке с оценкой по F1, FPR и метрикам локализации</w:t>
            </w:r>
          </w:p>
        </w:tc>
        <w:tc>
          <w:tcPr>
            <w:tcW w:type="dxa" w:w="1728"/>
          </w:tcPr>
          <w:p>
            <w:r/>
            <w:r>
              <w:t>6 месяцев</w:t>
            </w:r>
          </w:p>
        </w:tc>
        <w:tc>
          <w:tcPr>
            <w:tcW w:type="dxa" w:w="1728"/>
          </w:tcPr>
          <w:p>
            <w:r/>
            <w:r>
              <w:t>300 000</w:t>
            </w:r>
          </w:p>
        </w:tc>
        <w:tc>
          <w:tcPr>
            <w:tcW w:type="dxa" w:w="1728"/>
          </w:tcPr>
          <w:p>
            <w:r/>
            <w:r>
              <w:t>отчёт о выполнении НИР (заключительный); финансовый отчёт; свидетельство о преакселерации (или акселерации вуза); заявка на регистрацию прав на РИД; бизнес-план (Приложение № 11) либо заявка на «Студенческий стартап»/«Старт»; дорожная карта (Приложение № 12); акт о выполнении Работ; отчёт о достижении значений результата</w:t>
            </w:r>
          </w:p>
        </w:tc>
      </w:tr>
      <w:tr>
        <w:tc>
          <w:tcPr>
            <w:tcW w:type="dxa" w:w="1728"/>
          </w:tcPr>
          <w:p>
            <w:r/>
            <w:r>
              <w:t>ИТОГО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12 месяцев</w:t>
            </w:r>
          </w:p>
        </w:tc>
        <w:tc>
          <w:tcPr>
            <w:tcW w:type="dxa" w:w="1728"/>
          </w:tcPr>
          <w:p>
            <w:r/>
            <w:r>
              <w:t>500 000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t>Значения результата предоставления гранта (Приложение № 1, стр. 9; отчёт по</w:t>
      </w:r>
    </w:p>
    <w:p>
      <w:r>
        <w:t>Приложению № 2, стр. 10): результат «Завершённый проект», план 0 в 2026 году и</w:t>
      </w:r>
    </w:p>
    <w:p>
      <w:r>
        <w:t>1 в 2027 году.</w:t>
      </w:r>
    </w:p>
    <w:p>
      <w:r>
        <w:t>Сроки и способ отчётности (пп. 6.1–6.4, стр. 5–6): отчётность представляется в</w:t>
      </w:r>
    </w:p>
    <w:p>
      <w:r>
        <w:t xml:space="preserve">АС «Фонд-М» </w:t>
      </w:r>
      <w:r>
        <w:rPr>
          <w:b/>
        </w:rPr>
        <w:t>не позднее чем за 20 (Двадцать) календарных дней</w:t>
      </w:r>
      <w:r>
        <w:t xml:space="preserve"> до окончания</w:t>
      </w:r>
    </w:p>
    <w:p>
      <w:r>
        <w:t>срока выполнения соответствующего этапа Работ, документы подписываются</w:t>
      </w:r>
    </w:p>
    <w:p>
      <w:r>
        <w:t>усиленной квалифицированной электронной подписью. После второго этапа</w:t>
      </w:r>
    </w:p>
    <w:p>
      <w:r>
        <w:t>представляются также комплект документов о преакселерации, бизнес-план (не менее</w:t>
      </w:r>
    </w:p>
    <w:p>
      <w:r>
        <w:t>20 страниц) или заявка на конкурс Фонда, дорожная карта, заявка на РИД, отчёт о</w:t>
      </w:r>
    </w:p>
    <w:p>
      <w:r>
        <w:t>достижении значений результата (п. 6.3, стр. 6).</w:t>
      </w:r>
    </w:p>
    <w:p>
      <w:pPr>
        <w:pStyle w:val="Heading2"/>
      </w:pPr>
      <w:r>
        <w:t>3. Правила оформления отчёта (Приложение № 10, стр. 23–26)</w:t>
      </w:r>
    </w:p>
    <w:p>
      <w:r>
        <w:t>Структурные элементы отчёта (п. 1): титульный лист; реферат; содержание;</w:t>
      </w:r>
    </w:p>
    <w:p>
      <w:r>
        <w:t>термины и определения; перечень сокращений и обозначений; введение; основная</w:t>
      </w:r>
    </w:p>
    <w:p>
      <w:r>
        <w:t>часть; заключение; список использованных источников; приложения — всего</w:t>
      </w:r>
    </w:p>
    <w:p>
      <w:r>
        <w:rPr>
          <w:b/>
        </w:rPr>
        <w:t>10 элементов</w:t>
      </w:r>
      <w:r>
        <w:t>.</w:t>
      </w:r>
    </w:p>
    <w:p>
      <w:pPr>
        <w:pStyle w:val="ListBullet"/>
      </w:pPr>
      <w:r>
        <w:t>Титульный лист генерируется в АС «Фонд-М» автоматически (п. 2.1).</w:t>
      </w:r>
    </w:p>
    <w:p>
      <w:pPr>
        <w:pStyle w:val="ListBullet"/>
      </w:pPr>
      <w:r>
        <w:t>Реферат (п. 2.2): сведения об общем объёме отчёта, числе иллюстраций, таблиц,</w:t>
      </w:r>
    </w:p>
    <w:p>
      <w:r>
        <w:t xml:space="preserve">  использованных источников, приложений; </w:t>
      </w:r>
      <w:r>
        <w:rPr>
          <w:b/>
        </w:rPr>
        <w:t>перечень ключевых слов от 5 до 15</w:t>
      </w:r>
    </w:p>
    <w:p>
      <w:r>
        <w:t xml:space="preserve">  слов или словосочетаний; текст реферата — оптимально 850 печатных знаков, но не</w:t>
      </w:r>
    </w:p>
    <w:p>
      <w:r>
        <w:t xml:space="preserve">  более одной страницы (стр. 24).</w:t>
      </w:r>
    </w:p>
    <w:p>
      <w:pPr>
        <w:pStyle w:val="ListBullet"/>
      </w:pPr>
      <w:r>
        <w:t>Содержание (п. 2.3) — наименования всех элементов с номерами страниц.</w:t>
      </w:r>
    </w:p>
    <w:p>
      <w:pPr>
        <w:pStyle w:val="ListBullet"/>
      </w:pPr>
      <w:r>
        <w:t>Основная часть (п. 2.7): названия разделов совпадают с названиями работ</w:t>
      </w:r>
    </w:p>
    <w:p>
      <w:r>
        <w:t xml:space="preserve">  календарного плана; официально-деловой стиль; описание выполнения каждой работы</w:t>
      </w:r>
    </w:p>
    <w:p>
      <w:r>
        <w:t xml:space="preserve">  отчётного этапа и её результатов.</w:t>
      </w:r>
    </w:p>
    <w:p>
      <w:pPr>
        <w:pStyle w:val="ListBullet"/>
      </w:pPr>
      <w:r>
        <w:t>Заключение (п. 2.8): краткие выводы и оценка полноты решения поставленных задач.</w:t>
      </w:r>
    </w:p>
    <w:p>
      <w:pPr>
        <w:pStyle w:val="ListBullet"/>
      </w:pPr>
      <w:r>
        <w:rPr>
          <w:b/>
        </w:rPr>
        <w:t>Процент оригинальности текста отчёта — не менее 80 %</w:t>
      </w:r>
      <w:r>
        <w:t xml:space="preserve"> (п. 4, стр. 26).</w:t>
      </w:r>
    </w:p>
    <w:p>
      <w:r>
        <w:t>Приложение № 11 (стр. 27–29) — рекомендации к бизнес-плану проекта (объём не</w:t>
      </w:r>
    </w:p>
    <w:p>
      <w:r>
        <w:t>менее 20 страниц); Приложение № 12 (стр. 30–31) — рекомендации к дорожной карте</w:t>
      </w:r>
    </w:p>
    <w:p>
      <w:r>
        <w:t>развития проекта. Оба документа — зона получателя гранта, к коду не относятся.</w:t>
      </w:r>
    </w:p>
    <w:p>
      <w:pPr>
        <w:pStyle w:val="Heading2"/>
      </w:pPr>
      <w:r>
        <w:t>4. Что не перенесено (персональные данные)</w:t>
      </w:r>
    </w:p>
    <w:p>
      <w:r>
        <w:t xml:space="preserve">В этот файл </w:t>
      </w:r>
      <w:r>
        <w:rPr>
          <w:b/>
        </w:rPr>
        <w:t>не переносятся</w:t>
      </w:r>
      <w:r>
        <w:t>: ФИО получателя гранта (оно напечатано на каждой</w:t>
      </w:r>
    </w:p>
    <w:p>
      <w:r>
        <w:t>странице PDF), паспортные данные, ИНН, адрес регистрации, банковские реквизиты</w:t>
      </w:r>
    </w:p>
    <w:p>
      <w:r>
        <w:t>(лицевой счёт, БИК, корреспондентский счёт, наименование банка) и подписи сторон</w:t>
      </w:r>
    </w:p>
    <w:p>
      <w:r>
        <w:t>(стр. 32, «Адреса и банковские реквизиты сторон»). Эти сведения остаются только в</w:t>
      </w:r>
    </w:p>
    <w:p>
      <w:r>
        <w:t>подписанном PDF, который в публичном репозитории не хранится. Для проверок в</w:t>
      </w:r>
    </w:p>
    <w:p>
      <w:r>
        <w:t xml:space="preserve">репозитории остаётся </w:t>
      </w:r>
      <w:r>
        <w:rPr>
          <w:b/>
        </w:rPr>
        <w:t>только SHA-256 файла</w:t>
      </w:r>
      <w:r>
        <w:t xml:space="preserve"> — по нему версия источника</w:t>
      </w:r>
    </w:p>
    <w:p>
      <w:r>
        <w:t>фиксируется, а сами данные не раскрываются. Явное согласие на обработку</w:t>
      </w:r>
    </w:p>
    <w:p>
      <w:r>
        <w:t>персональных данных (Приложение № 6) также не переносится.</w:t>
      </w:r>
    </w:p>
    <w:p>
      <w:pPr>
        <w:pStyle w:val="Heading2"/>
      </w:pPr>
      <w:r>
        <w:t xml:space="preserve">5. Машиночитаемый блок (для проверки </w:t>
      </w:r>
      <w:r>
        <w:rPr>
          <w:rFonts w:ascii="Consolas" w:hAnsi="Consolas"/>
          <w:color w:val="224488"/>
          <w:sz w:val="19"/>
        </w:rPr>
        <w:t>contract.source</w:t>
      </w:r>
      <w:r>
        <w:t>)</w:t>
      </w:r>
    </w:p>
    <w:p>
      <w:r>
        <w:t xml:space="preserve">Ниже — те же значения в виде, который читает </w:t>
      </w:r>
      <w:r>
        <w:rPr>
          <w:rFonts w:ascii="Consolas" w:hAnsi="Consolas"/>
          <w:color w:val="224488"/>
          <w:sz w:val="19"/>
        </w:rPr>
        <w:t>scripts/contract_check.py</w:t>
      </w:r>
    </w:p>
    <w:p>
      <w:r>
        <w:t xml:space="preserve">(проверка </w:t>
      </w:r>
      <w:r>
        <w:rPr>
          <w:rFonts w:ascii="Consolas" w:hAnsi="Consolas"/>
          <w:color w:val="224488"/>
          <w:sz w:val="19"/>
        </w:rPr>
        <w:t>contract.source</w:t>
      </w:r>
      <w:r>
        <w:t>): она сверяет их с константами кода и, если</w:t>
      </w:r>
    </w:p>
    <w:p>
      <w:r>
        <w:t>подписанный PDF доступен локально (</w:t>
      </w:r>
      <w:r>
        <w:rPr>
          <w:rFonts w:ascii="Consolas" w:hAnsi="Consolas"/>
          <w:color w:val="224488"/>
          <w:sz w:val="19"/>
        </w:rPr>
        <w:t>SPANVERIFY_CONTRACT_PDF</w:t>
      </w:r>
      <w:r>
        <w:t>), — с текстом PDF.</w:t>
      </w:r>
    </w:p>
    <w:p>
      <w:r>
        <w:t>```json</w:t>
      </w:r>
    </w:p>
    <w:p>
      <w:r>
        <w:t>{</w:t>
      </w:r>
    </w:p>
    <w:p>
      <w:r>
        <w:t xml:space="preserve">  "договор": "20478ГУ/2026",</w:t>
      </w:r>
    </w:p>
    <w:p>
      <w:r>
        <w:t xml:space="preserve">  "дата": "2026-10-13",</w:t>
      </w:r>
    </w:p>
    <w:p>
      <w:r>
        <w:t xml:space="preserve">  "проект": "117812",</w:t>
      </w:r>
    </w:p>
    <w:p>
      <w:r>
        <w:t xml:space="preserve">  "pdf": {</w:t>
      </w:r>
    </w:p>
    <w:p>
      <w:r>
        <w:t xml:space="preserve">    "файл": "Договор_0117812 (25).pdf",</w:t>
      </w:r>
    </w:p>
    <w:p>
      <w:r>
        <w:t xml:space="preserve">    "sha256": "e5eb6ad8522fa70135f75bf22b0b5f3464fcc17d9c6f04d81b48976a42e69cd5",</w:t>
      </w:r>
    </w:p>
    <w:p>
      <w:r>
        <w:t xml:space="preserve">    "байт": 5019351,</w:t>
      </w:r>
    </w:p>
    <w:p>
      <w:r>
        <w:t xml:space="preserve">    "страниц": 32</w:t>
      </w:r>
    </w:p>
    <w:p>
      <w:r>
        <w:t xml:space="preserve">  },</w:t>
      </w:r>
    </w:p>
    <w:p>
      <w:r>
        <w:t xml:space="preserve">  "лимиты": {</w:t>
      </w:r>
    </w:p>
    <w:p>
      <w:r>
        <w:t xml:space="preserve">    "макс_знаков": 2000000,</w:t>
      </w:r>
    </w:p>
    <w:p>
      <w:r>
        <w:t xml:space="preserve">    "мс_на_1000_знаков": 30,</w:t>
      </w:r>
    </w:p>
    <w:p>
      <w:r>
        <w:t xml:space="preserve">    "сек_на_2000000": 60,</w:t>
      </w:r>
    </w:p>
    <w:p>
      <w:r>
        <w:t xml:space="preserve">    "сек_на_50000": 1,</w:t>
      </w:r>
    </w:p>
    <w:p>
      <w:r>
        <w:t xml:space="preserve">    "признаков_на_токен": 5,</w:t>
      </w:r>
    </w:p>
    <w:p>
      <w:r>
        <w:t xml:space="preserve">    "пересечение_границ": 0.5,</w:t>
      </w:r>
    </w:p>
    <w:p>
      <w:r>
        <w:t xml:space="preserve">    "f1_мин": 0.5,</w:t>
      </w:r>
    </w:p>
    <w:p>
      <w:r>
        <w:t xml:space="preserve">    "fpr_макс": 0.4,</w:t>
      </w:r>
    </w:p>
    <w:p>
      <w:r>
        <w:t xml:space="preserve">    "пар_в_наборе": 1200,</w:t>
      </w:r>
    </w:p>
    <w:p>
      <w:r>
        <w:t xml:space="preserve">    "шаг_смеси": 0.25,</w:t>
      </w:r>
    </w:p>
    <w:p>
      <w:r>
        <w:t xml:space="preserve">    "exe_макс_МБ": 9,</w:t>
      </w:r>
    </w:p>
    <w:p>
      <w:r>
        <w:t xml:space="preserve">    "пакет_макс_МБ": 0.6,</w:t>
      </w:r>
    </w:p>
    <w:p>
      <w:r>
        <w:t xml:space="preserve">    "порт": 8765,</w:t>
      </w:r>
    </w:p>
    <w:p>
      <w:r>
        <w:t xml:space="preserve">    "библиотеки_МБ": 500,</w:t>
      </w:r>
    </w:p>
    <w:p>
      <w:r>
        <w:t xml:space="preserve">    "веса_МБ": 530,</w:t>
      </w:r>
    </w:p>
    <w:p>
      <w:r>
        <w:t xml:space="preserve">    "хранение_без_весов_МБ": 100,</w:t>
      </w:r>
    </w:p>
    <w:p>
      <w:r>
        <w:t xml:space="preserve">    "хранение_с_весами_МБ": 1500,</w:t>
      </w:r>
    </w:p>
    <w:p>
      <w:r>
        <w:t xml:space="preserve">    "ядер_мин": 2,</w:t>
      </w:r>
    </w:p>
    <w:p>
      <w:r>
        <w:t xml:space="preserve">    "озу_ГБ": 4,</w:t>
      </w:r>
    </w:p>
    <w:p>
      <w:r>
        <w:t xml:space="preserve">    "озу_с_весами_ГБ": 8,</w:t>
      </w:r>
    </w:p>
    <w:p>
      <w:r>
        <w:t xml:space="preserve">    "диск_ГБ": 1.5,</w:t>
      </w:r>
    </w:p>
    <w:p>
      <w:r>
        <w:t xml:space="preserve">    "python_мин": "3.10",</w:t>
      </w:r>
    </w:p>
    <w:p>
      <w:r>
        <w:t xml:space="preserve">    "этапов": 2,</w:t>
      </w:r>
    </w:p>
    <w:p>
      <w:r>
        <w:t xml:space="preserve">    "месяцев_этап": 6,</w:t>
      </w:r>
    </w:p>
    <w:p>
      <w:r>
        <w:t xml:space="preserve">    "месяцев_всего": 12,</w:t>
      </w:r>
    </w:p>
    <w:p>
      <w:r>
        <w:t xml:space="preserve">    "сумма_1_руб": 200000,</w:t>
      </w:r>
    </w:p>
    <w:p>
      <w:r>
        <w:t xml:space="preserve">    "сумма_2_руб": 300000,</w:t>
      </w:r>
    </w:p>
    <w:p>
      <w:r>
        <w:t xml:space="preserve">    "сумма_всего_руб": 500000,</w:t>
      </w:r>
    </w:p>
    <w:p>
      <w:r>
        <w:t xml:space="preserve">    "дней_до_окончания_этапа": 20,</w:t>
      </w:r>
    </w:p>
    <w:p>
      <w:r>
        <w:t xml:space="preserve">    "оригинальность_проц": 80,</w:t>
      </w:r>
    </w:p>
    <w:p>
      <w:r>
        <w:t xml:space="preserve">    "ключевых_слов_мин": 5,</w:t>
      </w:r>
    </w:p>
    <w:p>
      <w:r>
        <w:t xml:space="preserve">    "ключевых_слов_макс": 15,</w:t>
      </w:r>
    </w:p>
    <w:p>
      <w:r>
        <w:t xml:space="preserve">    "элементов_отчёта": 10</w:t>
      </w:r>
    </w:p>
    <w:p>
      <w:r>
        <w:t xml:space="preserve">  }</w:t>
      </w:r>
    </w:p>
    <w:p>
      <w:r>
        <w:t>}</w:t>
      </w:r>
    </w:p>
    <w:p>
      <w:r>
        <w:rPr>
          <w:rFonts w:ascii="Consolas" w:hAnsi="Consolas"/>
          <w:color w:val="224488"/>
          <w:sz w:val="19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