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Поля заявки в АС «Фонд-М»: готовые формулировки</w:t>
      </w:r>
    </w:p>
    <w:p>
      <w:r>
        <w:t>Документ — для копирования в поля заявки. Формулировки проверены на</w:t>
      </w:r>
    </w:p>
    <w:p>
      <w:r>
        <w:t>соответствие требованиям к научно-исследовательским работам: в описании этапов</w:t>
      </w:r>
    </w:p>
    <w:p>
      <w:r>
        <w:t>нет видов работ, которые к НИР не относятся.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Команда и роль продукта</w:t>
      </w:r>
    </w:p>
    <w:p>
      <w:r>
        <w:rPr>
          <w:b/>
        </w:rPr>
        <w:t>Название проекта (полное):</w:t>
      </w:r>
      <w:r>
        <w:t xml:space="preserve"> Инструмент проверки достоверности текста по</w:t>
      </w:r>
    </w:p>
    <w:p>
      <w:r>
        <w:t>документу-источнику на основе анализа внимания языковой модели (SpanVerify).</w:t>
      </w:r>
    </w:p>
    <w:p>
      <w:r>
        <w:rPr>
          <w:b/>
        </w:rPr>
        <w:t>Формулировка проблемы.</w:t>
      </w:r>
      <w:r>
        <w:t xml:space="preserve"> Генеративные языковые модели всё чаще используются для</w:t>
      </w:r>
    </w:p>
    <w:p>
      <w:r>
        <w:t>подготовки ответов по документам: справок, выписок из регламентов, обобщений</w:t>
      </w:r>
    </w:p>
    <w:p>
      <w:r>
        <w:t>инструкций. Такие тексты бегло выглядят достоверно даже тогда, когда числа,</w:t>
      </w:r>
    </w:p>
    <w:p>
      <w:r>
        <w:t>сроки и ссылки в них не соответствуют источнику. Ручная выборочная проверка</w:t>
      </w:r>
    </w:p>
    <w:p>
      <w:r>
        <w:t xml:space="preserve">несистематична, а инструментов, которые бы показывали </w:t>
      </w:r>
      <w:r>
        <w:rPr>
          <w:b/>
        </w:rPr>
        <w:t>где именно</w:t>
      </w:r>
      <w:r>
        <w:t xml:space="preserve"> ответ</w:t>
      </w:r>
    </w:p>
    <w:p>
      <w:r>
        <w:t>расходится с документом, для русскоязычных текстов почти нет.</w:t>
      </w:r>
    </w:p>
    <w:p>
      <w:r>
        <w:rPr>
          <w:b/>
        </w:rPr>
        <w:t>Что предлагается.</w:t>
      </w:r>
      <w:r>
        <w:t xml:space="preserve"> Метод и программное средство, которые получают документ и</w:t>
      </w:r>
    </w:p>
    <w:p>
      <w:r>
        <w:t>ответ, вычисляют по токенам ответа признаки на основе внимания языковой модели и</w:t>
      </w:r>
    </w:p>
    <w:p>
      <w:r>
        <w:t>векторных представлений, формируют оценку риска, выделяют связные фрагменты с</w:t>
      </w:r>
    </w:p>
    <w:p>
      <w:r>
        <w:t>риском выше порога и выдают количественную оценку достоверности ответа. Работает</w:t>
      </w:r>
    </w:p>
    <w:p>
      <w:r>
        <w:t>локально: тексты не покидают компьютер пользователя.</w:t>
      </w:r>
    </w:p>
    <w:p>
      <w:pPr>
        <w:pStyle w:val="Heading2"/>
      </w:pPr>
      <w:r>
        <w:t>2. Научная новизна (формулировка для поля)</w:t>
      </w:r>
    </w:p>
    <w:p>
      <w:r>
        <w:t>Постановка задачи как локального сопоставления ответа с конкретным документом:</w:t>
      </w:r>
    </w:p>
    <w:p>
      <w:r>
        <w:t>средство указывает фрагменты ответа, не подтверждённые источником, а не только</w:t>
      </w:r>
    </w:p>
    <w:p>
      <w:r>
        <w:t>оценивает текст целиком. Признак доли внимания на документ используется с</w:t>
      </w:r>
    </w:p>
    <w:p>
      <w:r>
        <w:t>отрицательным знаком (больше опоры — меньше риска) и сопоставляется с «сырой»</w:t>
      </w:r>
    </w:p>
    <w:p>
      <w:r>
        <w:t>энтропией внимания на нескольких слоях модели. Параметры метода калибруются по</w:t>
      </w:r>
    </w:p>
    <w:p>
      <w:r>
        <w:t>целевому уровню ложных срабатываний, что делает результат пригодным для решений,</w:t>
      </w:r>
    </w:p>
    <w:p>
      <w:r>
        <w:t>где цена ложного обвинения высока.</w:t>
      </w:r>
    </w:p>
    <w:p>
      <w:pPr>
        <w:pStyle w:val="Heading2"/>
      </w:pPr>
      <w:r>
        <w:t>3. Метод (для поля «содержание работы»)</w:t>
      </w:r>
    </w:p>
    <w:p>
      <w:pPr>
        <w:pStyle w:val="ListNumber"/>
      </w:pPr>
      <w:r>
        <w:t>Токенизация ответа с сохранением смещений в символах.</w:t>
      </w:r>
    </w:p>
    <w:p>
      <w:pPr>
        <w:pStyle w:val="ListNumber"/>
      </w:pPr>
      <w:r>
        <w:t>Признаки на токен: нормированная энтропия внимания; доля массы внимания,</w:t>
      </w:r>
    </w:p>
    <w:p>
      <w:r>
        <w:t xml:space="preserve">   приходящаяся на документ; плотность близости представлений токена к</w:t>
      </w:r>
    </w:p>
    <w:p>
      <w:r>
        <w:t xml:space="preserve">   ближайшим токенам документа (базовый уровень без использования внимания).</w:t>
      </w:r>
    </w:p>
    <w:p>
      <w:pPr>
        <w:pStyle w:val="ListNumber"/>
      </w:pPr>
      <w:r>
        <w:t>Взвешенная комбинация признаков с подбором весов по AUC на обучающей части</w:t>
      </w:r>
    </w:p>
    <w:p>
      <w:r>
        <w:t xml:space="preserve">   (перебор сетки, сумма весов равна единице).</w:t>
      </w:r>
    </w:p>
    <w:p>
      <w:pPr>
        <w:pStyle w:val="ListNumber"/>
      </w:pPr>
      <w:r>
        <w:t>Оценка ответа как полусуммы среднего риска и среднего риска верхних</w:t>
      </w:r>
    </w:p>
    <w:p>
      <w:r>
        <w:t xml:space="preserve">   двадцати процентов токенов; изотоническая калибровка (PAVA).</w:t>
      </w:r>
    </w:p>
    <w:p>
      <w:pPr>
        <w:pStyle w:val="ListNumber"/>
      </w:pPr>
      <w:r>
        <w:t>Порог решения выбирается по целевому уровню ложных срабатываний на</w:t>
      </w:r>
    </w:p>
    <w:p>
      <w:r>
        <w:t xml:space="preserve">   обучающей части; тестовая часть используется только для измерения.</w:t>
      </w:r>
    </w:p>
    <w:p>
      <w:pPr>
        <w:pStyle w:val="Heading2"/>
      </w:pPr>
      <w:r>
        <w:t>4. Планируемые результаты</w:t>
      </w:r>
    </w:p>
    <w:p>
      <w:pPr>
        <w:pStyle w:val="ListNumber"/>
      </w:pPr>
      <w:r>
        <w:t>Обученный метод с открытыми параметрами (</w:t>
      </w:r>
      <w:r>
        <w:rPr>
          <w:rFonts w:ascii="Consolas" w:hAnsi="Consolas"/>
          <w:color w:val="224488"/>
          <w:sz w:val="19"/>
        </w:rPr>
        <w:t>weights.json</w:t>
      </w:r>
      <w:r>
        <w:t>: веса, пороги,</w:t>
      </w:r>
    </w:p>
    <w:p>
      <w:r>
        <w:t xml:space="preserve">   калибровка, решающая голова).</w:t>
      </w:r>
    </w:p>
    <w:p>
      <w:pPr>
        <w:pStyle w:val="ListNumber"/>
      </w:pPr>
      <w:r>
        <w:t>Программное средство: локальное приложение для Windows одним файлом,</w:t>
      </w:r>
    </w:p>
    <w:p>
      <w:r>
        <w:t xml:space="preserve">   HTTP-интерфейс, интерфейс командной строки.</w:t>
      </w:r>
    </w:p>
    <w:p>
      <w:pPr>
        <w:pStyle w:val="ListNumber"/>
      </w:pPr>
      <w:r>
        <w:t>Протокол оценки: метрики по токенам и фрагментам, доверительные интервалы</w:t>
      </w:r>
    </w:p>
    <w:p>
      <w:r>
        <w:t xml:space="preserve">   бутстрэпом, сравнение признаков по слоям модели.</w:t>
      </w:r>
    </w:p>
    <w:p>
      <w:pPr>
        <w:pStyle w:val="ListNumber"/>
      </w:pPr>
      <w:r>
        <w:t>Комплект документации: руководство пользователя, описание метода, отчёт о</w:t>
      </w:r>
    </w:p>
    <w:p>
      <w:r>
        <w:t xml:space="preserve">   НИР, руководство по обучению на собственных размеченных парах.</w:t>
      </w:r>
    </w:p>
    <w:p>
      <w:pPr>
        <w:pStyle w:val="Heading2"/>
      </w:pPr>
      <w:r>
        <w:t>5. Формулировки для коротких полей</w:t>
      </w:r>
    </w:p>
    <w:p>
      <w:r>
        <w:rPr>
          <w:b/>
        </w:rPr>
        <w:t>Аннотация (до 500 знаков).</w:t>
      </w:r>
      <w:r>
        <w:t xml:space="preserve"> Работа посвящена проверке достоверности текста по</w:t>
      </w:r>
    </w:p>
    <w:p>
      <w:r>
        <w:t>документу-источнику. Предлагается метод, который по вниманию языковой модели и</w:t>
      </w:r>
    </w:p>
    <w:p>
      <w:r>
        <w:t>близости представлений вычисляет риск недостоверности каждого токена ответа,</w:t>
      </w:r>
    </w:p>
    <w:p>
      <w:r>
        <w:t>выделяет связные фрагменты, не подтверждённые документом, и выдаёт оценку</w:t>
      </w:r>
    </w:p>
    <w:p>
      <w:r>
        <w:t>достоверности ответа. Параметры калибруются по целевому уровню ложных</w:t>
      </w:r>
    </w:p>
    <w:p>
      <w:r>
        <w:t>срабатываний. Реализовано локальное приложение для Windows (один файл),</w:t>
      </w:r>
    </w:p>
    <w:p>
      <w:r>
        <w:t>HTTP-интерфейс и интерфейс командной строки; проведена оценка на размеченных</w:t>
      </w:r>
    </w:p>
    <w:p>
      <w:r>
        <w:t>парах и пилотное исследование признаков по слоям реальной модели.</w:t>
      </w:r>
    </w:p>
    <w:p>
      <w:r>
        <w:rPr>
          <w:b/>
        </w:rPr>
        <w:t>Актуальность (до 300 знаков).</w:t>
      </w:r>
      <w:r>
        <w:t xml:space="preserve"> Генеративные модели готовят ответы по</w:t>
      </w:r>
    </w:p>
    <w:p>
      <w:r>
        <w:t>документам, и правдоподобные по форме ответы могут содержать неподтверждённые</w:t>
      </w:r>
    </w:p>
    <w:p>
      <w:r>
        <w:t>числа, сроки и ссылки. Инструментов локальной проверки ответа относительно</w:t>
      </w:r>
    </w:p>
    <w:p>
      <w:r>
        <w:t>конкретного документа для русскоязычных текстов недостаточно.</w:t>
      </w:r>
    </w:p>
    <w:p>
      <w:r>
        <w:rPr>
          <w:b/>
        </w:rPr>
        <w:t>Практическая значимость (до 300 знаков).</w:t>
      </w:r>
      <w:r>
        <w:t xml:space="preserve"> Средство применимо для выборочной</w:t>
      </w:r>
    </w:p>
    <w:p>
      <w:r>
        <w:t>проверки ответов справочных систем и сотрудников по регламентам. Работает</w:t>
      </w:r>
    </w:p>
    <w:p>
      <w:r>
        <w:t>локально, тексты не передаются во внешние сервисы; результат указывает места для</w:t>
      </w:r>
    </w:p>
    <w:p>
      <w:r>
        <w:t>перечитки, а не выносит автоматический приговор.</w:t>
      </w:r>
    </w:p>
    <w:p>
      <w:r>
        <w:rPr>
          <w:b/>
        </w:rPr>
        <w:t>Ограничения (обязательно указать честно, до 300 знаков).</w:t>
      </w:r>
      <w:r>
        <w:t xml:space="preserve"> Качество зависит от</w:t>
      </w:r>
    </w:p>
    <w:p>
      <w:r>
        <w:t>модели и предметной области; нужна калибровка на размеченных парах пользователя.</w:t>
      </w:r>
    </w:p>
    <w:p>
      <w:r>
        <w:t>Демонстрационный корпус синтетический: его метрики подтверждают</w:t>
      </w:r>
    </w:p>
    <w:p>
      <w:r>
        <w:t>работоспособность метода, но не качество на реальных документах. Измерение на</w:t>
      </w:r>
    </w:p>
    <w:p>
      <w:r>
        <w:t xml:space="preserve">реальных актах 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выполнено: заявленный ориентир качества не</w:t>
      </w:r>
    </w:p>
    <w:p>
      <w:r>
        <w:t>достигнут, поэтому заявка уровня качества не обещает.</w:t>
      </w:r>
    </w:p>
    <w:p>
      <w:pPr>
        <w:pStyle w:val="Heading2"/>
      </w:pPr>
      <w:r>
        <w:t>6. Что заполняет исполнитель (данные извне)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Кто заполняет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/>
            <w:r>
              <w:t>Публикации по теме</w:t>
            </w:r>
          </w:p>
        </w:tc>
        <w:tc>
          <w:tcPr>
            <w:tcW w:type="dxa" w:w="2880"/>
          </w:tcPr>
          <w:p>
            <w:r/>
            <w:r>
              <w:t>исполнитель</w:t>
            </w:r>
          </w:p>
        </w:tc>
        <w:tc>
          <w:tcPr>
            <w:tcW w:type="dxa" w:w="2880"/>
          </w:tcPr>
          <w:p>
            <w:r/>
            <w:r>
              <w:t>перечислить статьи/тезисы, если есть</w:t>
            </w:r>
          </w:p>
        </w:tc>
      </w:tr>
      <w:tr>
        <w:tc>
          <w:tcPr>
            <w:tcW w:type="dxa" w:w="2880"/>
          </w:tcPr>
          <w:p>
            <w:r/>
            <w:r>
              <w:t>Дипломная работа</w:t>
            </w:r>
          </w:p>
        </w:tc>
        <w:tc>
          <w:tcPr>
            <w:tcW w:type="dxa" w:w="2880"/>
          </w:tcPr>
          <w:p>
            <w:r/>
            <w:r>
              <w:t>исполнитель</w:t>
            </w:r>
          </w:p>
        </w:tc>
        <w:tc>
          <w:tcPr>
            <w:tcW w:type="dxa" w:w="2880"/>
          </w:tcPr>
          <w:p>
            <w:r/>
            <w:r>
              <w:t>тема, научный руководитель, организация</w:t>
            </w:r>
          </w:p>
        </w:tc>
      </w:tr>
      <w:tr>
        <w:tc>
          <w:tcPr>
            <w:tcW w:type="dxa" w:w="2880"/>
          </w:tcPr>
          <w:p>
            <w:r/>
            <w:r>
              <w:t>Письмо поддержки</w:t>
            </w:r>
          </w:p>
        </w:tc>
        <w:tc>
          <w:tcPr>
            <w:tcW w:type="dxa" w:w="2880"/>
          </w:tcPr>
          <w:p>
            <w:r/>
            <w:r>
              <w:t>исполнитель</w:t>
            </w:r>
          </w:p>
        </w:tc>
        <w:tc>
          <w:tcPr>
            <w:tcW w:type="dxa" w:w="2880"/>
          </w:tcPr>
          <w:p>
            <w:r/>
            <w:r>
              <w:t>например, от организации-партнёра</w:t>
            </w:r>
          </w:p>
        </w:tc>
      </w:tr>
      <w:tr>
        <w:tc>
          <w:tcPr>
            <w:tcW w:type="dxa" w:w="2880"/>
          </w:tcPr>
          <w:p>
            <w:r/>
            <w:r>
              <w:t>Сроки этапов</w:t>
            </w:r>
          </w:p>
        </w:tc>
        <w:tc>
          <w:tcPr>
            <w:tcW w:type="dxa" w:w="2880"/>
          </w:tcPr>
          <w:p>
            <w:r/>
            <w:r>
              <w:t>исполнитель</w:t>
            </w:r>
          </w:p>
        </w:tc>
        <w:tc>
          <w:tcPr>
            <w:tcW w:type="dxa" w:w="2880"/>
          </w:tcPr>
          <w:p>
            <w:r/>
            <w:r>
              <w:t>в календарном плане указаны относительные сроки</w:t>
            </w:r>
          </w:p>
        </w:tc>
      </w:tr>
      <w:tr>
        <w:tc>
          <w:tcPr>
            <w:tcW w:type="dxa" w:w="2880"/>
          </w:tcPr>
          <w:p>
            <w:r/>
            <w:r>
              <w:t>Стоимость работ</w:t>
            </w:r>
          </w:p>
        </w:tc>
        <w:tc>
          <w:tcPr>
            <w:tcW w:type="dxa" w:w="2880"/>
          </w:tcPr>
          <w:p>
            <w:r/>
            <w:r>
              <w:t>исполнитель</w:t>
            </w:r>
          </w:p>
        </w:tc>
        <w:tc>
          <w:tcPr>
            <w:tcW w:type="dxa" w:w="2880"/>
          </w:tcPr>
          <w:p>
            <w:r/>
            <w:r>
              <w:t>при требовании конкурсной документации</w:t>
            </w:r>
          </w:p>
        </w:tc>
      </w:tr>
    </w:tbl>
    <w:p/>
    <w:p>
      <w:pPr>
        <w:pStyle w:val="Heading2"/>
      </w:pPr>
      <w:r>
        <w:t>7. Чего в заявке быть не должно</w:t>
      </w:r>
    </w:p>
    <w:p>
      <w:r>
        <w:t>Ниже — виды работ, которые не относятся к НИР; в текст заявки и календарного</w:t>
      </w:r>
    </w:p>
    <w:p>
      <w:r>
        <w:t>плана они не включались: производство, изготовление, опытный или промышленный</w:t>
      </w:r>
    </w:p>
    <w:p>
      <w:r>
        <w:t>образец, опытная партия, сертификация, упаковка, маркетинг, продвижение,</w:t>
      </w:r>
    </w:p>
    <w:p>
      <w:r>
        <w:t>конструкторская и технологическая документация, закупка оборудования,</w:t>
      </w:r>
    </w:p>
    <w:p>
      <w:r>
        <w:t>клинические испытания, патентование и подача заявки на патент как вид работы,</w:t>
      </w:r>
    </w:p>
    <w:p>
      <w:r>
        <w:t>литературный обзор как отдельный этап, публикация статьи и участие в</w:t>
      </w:r>
    </w:p>
    <w:p>
      <w:r>
        <w:t>конференции как обязательный результат, преакселерация, бизнес-план.</w:t>
      </w:r>
    </w:p>
    <w:p>
      <w:pPr>
        <w:pStyle w:val="Heading2"/>
      </w:pPr>
      <w:r>
        <w:t>8. Соответствие фактическому состоянию работы</w:t>
      </w:r>
    </w:p>
    <w:p>
      <w:r>
        <w:t>На момент оформления заявки: метод реализован, обучен и откалиброван; проведена</w:t>
      </w:r>
    </w:p>
    <w:p>
      <w:r>
        <w:t>оценка на отложенной части демонстрационного корпуса (token F1 0.958 при</w:t>
      </w:r>
    </w:p>
    <w:p>
      <w:r>
        <w:t>FPR 0.002, критерий F1 ≥ 0.90 при FPR ≤ 0.10 выполнен внутри демонстрационного</w:t>
      </w:r>
    </w:p>
    <w:p>
      <w:r>
        <w:t>корпуса; на корпусе другого генератора token F1 0.675 при FPR 0.148 — там</w:t>
      </w:r>
    </w:p>
    <w:p>
      <w:r>
        <w:t>критерий не выполняется, ограничение зафиксировано в отчёте); проведён пилот на</w:t>
      </w:r>
    </w:p>
    <w:p>
      <w:r>
        <w:t xml:space="preserve">реальной модели </w:t>
      </w:r>
      <w:r>
        <w:rPr>
          <w:rFonts w:ascii="Consolas" w:hAnsi="Consolas"/>
          <w:color w:val="224488"/>
          <w:sz w:val="19"/>
        </w:rPr>
        <w:t>rugpt3small</w:t>
      </w:r>
      <w:r>
        <w:t xml:space="preserve"> в режиме вычислений на CPU с парным анализом</w:t>
      </w:r>
    </w:p>
    <w:p>
      <w:r>
        <w:t>признаков по слоям; приложение собрано, проверено автоматическим смоук-тестом и</w:t>
      </w:r>
    </w:p>
    <w:p>
      <w:r>
        <w:t>опубликовано по постоянной ссылке.</w:t>
      </w:r>
    </w:p>
    <w:p>
      <w:r>
        <w:t>Отдельно о формулировке «доля участия ИИ»: в программном средстве это</w:t>
      </w:r>
    </w:p>
    <w:p>
      <w:r>
        <w:t xml:space="preserve">самостоятельная величина </w:t>
      </w:r>
      <w:r>
        <w:rPr>
          <w:rFonts w:ascii="Consolas" w:hAnsi="Consolas"/>
          <w:color w:val="224488"/>
          <w:sz w:val="19"/>
        </w:rPr>
        <w:t>ai_participation</w:t>
      </w:r>
      <w:r>
        <w:t xml:space="preserve"> — логистическая регрессия по пяти</w:t>
      </w:r>
    </w:p>
    <w:p>
      <w:r>
        <w:t>признакам, средняя вероятность по содержательным токенам, калиброванная на</w:t>
      </w:r>
    </w:p>
    <w:p>
      <w:r>
        <w:t>синтетическом корпусе с известной долей смеси (два стиля, доли 0 / 0.25 / 0.5 /</w:t>
      </w:r>
    </w:p>
    <w:p>
      <w:r>
        <w:t xml:space="preserve">0.75 / 1). Она доступна по </w:t>
      </w:r>
      <w:r>
        <w:rPr>
          <w:rFonts w:ascii="Consolas" w:hAnsi="Consolas"/>
          <w:color w:val="224488"/>
          <w:sz w:val="19"/>
        </w:rPr>
        <w:t>GET /v1/model</w:t>
      </w:r>
      <w:r>
        <w:t xml:space="preserve"> вместе с полем</w:t>
      </w:r>
    </w:p>
    <w:p>
      <w:r>
        <w:rPr>
          <w:rFonts w:ascii="Consolas" w:hAnsi="Consolas"/>
          <w:color w:val="224488"/>
          <w:sz w:val="19"/>
        </w:rPr>
        <w:t>participation.calibrated_on</w:t>
      </w:r>
      <w:r>
        <w:t>; калибровка на реальных текстах не выполнялась и</w:t>
      </w:r>
    </w:p>
    <w:p>
      <w:r>
        <w:t xml:space="preserve">должна быть названа в заявке честно. Величина </w:t>
      </w:r>
      <w:r>
        <w:rPr>
          <w:rFonts w:ascii="Consolas" w:hAnsi="Consolas"/>
          <w:color w:val="224488"/>
          <w:sz w:val="19"/>
        </w:rPr>
        <w:t>ai_share</w:t>
      </w:r>
      <w:r>
        <w:t xml:space="preserve"> в ответе API — это</w:t>
      </w:r>
    </w:p>
    <w:p>
      <w:r>
        <w:t xml:space="preserve">другая метрика: доля недостоверного (не подтверждённого документом) текста. Полные данные — в </w:t>
      </w:r>
      <w:r>
        <w:rPr>
          <w:rFonts w:ascii="Consolas" w:hAnsi="Consolas"/>
          <w:color w:val="224488"/>
          <w:sz w:val="19"/>
        </w:rPr>
        <w:t>ИТОГ.md</w:t>
      </w:r>
      <w:r>
        <w:t xml:space="preserve"> и</w:t>
      </w:r>
    </w:p>
    <w:p>
      <w:r>
        <w:rPr>
          <w:rFonts w:ascii="Consolas" w:hAnsi="Consolas"/>
          <w:color w:val="224488"/>
          <w:sz w:val="19"/>
        </w:rPr>
        <w:t>docs/ОТЧЁТ_о_НИР_шаблон.md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