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научно-исследовательской работе</w:t>
      </w:r>
    </w:p>
    <w:p>
      <w:r>
        <w:rPr>
          <w:b/>
        </w:rPr>
        <w:t>Тема:</w:t>
      </w:r>
      <w:r>
        <w:t xml:space="preserve"> метод и программное средство проверки достоверности текста по</w:t>
      </w:r>
    </w:p>
    <w:p>
      <w:r>
        <w:t>документу-источнику на основе анализа внимания языковой модели (SpanVerify).</w:t>
      </w:r>
    </w:p>
    <w:p>
      <w:r>
        <w:rPr>
          <w:b/>
        </w:rPr>
        <w:t>Исполнитель:</w:t>
      </w:r>
      <w:r>
        <w:t xml:space="preserve"> заполняется. </w:t>
      </w:r>
      <w:r>
        <w:rPr>
          <w:b/>
        </w:rPr>
        <w:t>Срок выполнения:</w:t>
      </w:r>
      <w:r>
        <w:t xml:space="preserve"> заполняется.</w:t>
      </w:r>
    </w:p>
    <w:p>
      <w:r>
        <w:rPr>
          <w:b/>
        </w:rPr>
        <w:t>Объём работы:</w:t>
      </w:r>
      <w:r>
        <w:t xml:space="preserve"> этапы 1–7 календарного плана</w:t>
      </w:r>
    </w:p>
    <w:p>
      <w:r>
        <w:t>(</w:t>
      </w:r>
      <w:r>
        <w:rPr>
          <w:rFonts w:ascii="Consolas" w:hAnsi="Consolas"/>
          <w:color w:val="224488"/>
          <w:sz w:val="19"/>
        </w:rPr>
        <w:t>docs/ТЗ_и_календарный_план.md</w:t>
      </w:r>
      <w:r>
        <w:t>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 Структура отчёта (Приложение № 10 к договору)</w:t>
      </w:r>
    </w:p>
    <w:p>
      <w:r>
        <w:t>Отчёт собирается строго в порядке, установленном правилами оформления</w:t>
      </w:r>
    </w:p>
    <w:p>
      <w:r>
        <w:t>(Приложение № 10), и в этом файле разделы названы теми же словами.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Раздел правил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Где в шаблоне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Состояние</w:t>
            </w:r>
          </w:p>
        </w:tc>
      </w:tr>
      <w:tr>
        <w:tc>
          <w:tcPr>
            <w:tcW w:type="dxa" w:w="2880"/>
          </w:tcPr>
          <w:p>
            <w:r/>
            <w:r>
              <w:t>Титульный лист</w:t>
            </w:r>
          </w:p>
        </w:tc>
        <w:tc>
          <w:tcPr>
            <w:tcW w:type="dxa" w:w="2880"/>
          </w:tcPr>
          <w:p>
            <w:r/>
            <w:r>
              <w:t>раздел 0.1 ниже</w:t>
            </w:r>
          </w:p>
        </w:tc>
        <w:tc>
          <w:tcPr>
            <w:tcW w:type="dxa" w:w="2880"/>
          </w:tcPr>
          <w:p>
            <w:r/>
            <w:r>
              <w:t>заполняется при сдаче (организация, тема, исполнитель, город и год)</w:t>
            </w:r>
          </w:p>
        </w:tc>
      </w:tr>
      <w:tr>
        <w:tc>
          <w:tcPr>
            <w:tcW w:type="dxa" w:w="2880"/>
          </w:tcPr>
          <w:p>
            <w:r/>
            <w:r>
              <w:t>Реферат</w:t>
            </w:r>
          </w:p>
        </w:tc>
        <w:tc>
          <w:tcPr>
            <w:tcW w:type="dxa" w:w="2880"/>
          </w:tcPr>
          <w:p>
            <w:r/>
            <w:r>
              <w:t>раздел 0.2 ниже</w:t>
            </w:r>
          </w:p>
        </w:tc>
        <w:tc>
          <w:tcPr>
            <w:tcW w:type="dxa" w:w="2880"/>
          </w:tcPr>
          <w:p>
            <w:r/>
            <w:r>
              <w:t>обязательные сведения и ключевые слова приведены</w:t>
            </w:r>
          </w:p>
        </w:tc>
      </w:tr>
      <w:tr>
        <w:tc>
          <w:tcPr>
            <w:tcW w:type="dxa" w:w="2880"/>
          </w:tcPr>
          <w:p>
            <w:r/>
            <w:r>
              <w:t>Содержание</w:t>
            </w:r>
          </w:p>
        </w:tc>
        <w:tc>
          <w:tcPr>
            <w:tcW w:type="dxa" w:w="2880"/>
          </w:tcPr>
          <w:p>
            <w:r/>
            <w:r>
              <w:t>генерируется из заголовков</w:t>
            </w:r>
          </w:p>
        </w:tc>
        <w:tc>
          <w:tcPr>
            <w:tcW w:type="dxa" w:w="2880"/>
          </w:tcPr>
          <w:p>
            <w:r/>
            <w:r>
              <w:t>заполняется при сдаче</w:t>
            </w:r>
          </w:p>
        </w:tc>
      </w:tr>
      <w:tr>
        <w:tc>
          <w:tcPr>
            <w:tcW w:type="dxa" w:w="2880"/>
          </w:tcPr>
          <w:p>
            <w:r/>
            <w:r>
              <w:t>Термины и определения</w:t>
            </w:r>
          </w:p>
        </w:tc>
        <w:tc>
          <w:tcPr>
            <w:tcW w:type="dxa" w:w="2880"/>
          </w:tcPr>
          <w:p>
            <w:r/>
            <w:r>
              <w:t>раздел 0.3 ниже</w:t>
            </w:r>
          </w:p>
        </w:tc>
        <w:tc>
          <w:tcPr>
            <w:tcW w:type="dxa" w:w="2880"/>
          </w:tcPr>
          <w:p>
            <w:r/>
            <w:r>
              <w:t>приведены термины, используемые в тексте</w:t>
            </w:r>
          </w:p>
        </w:tc>
      </w:tr>
      <w:tr>
        <w:tc>
          <w:tcPr>
            <w:tcW w:type="dxa" w:w="2880"/>
          </w:tcPr>
          <w:p>
            <w:r/>
            <w:r>
              <w:t>Перечень сокращений и обозначений</w:t>
            </w:r>
          </w:p>
        </w:tc>
        <w:tc>
          <w:tcPr>
            <w:tcW w:type="dxa" w:w="2880"/>
          </w:tcPr>
          <w:p>
            <w:r/>
            <w:r>
              <w:t>раздел 0.4 ниже</w:t>
            </w:r>
          </w:p>
        </w:tc>
        <w:tc>
          <w:tcPr>
            <w:tcW w:type="dxa" w:w="2880"/>
          </w:tcPr>
          <w:p>
            <w:r/>
            <w:r>
              <w:t>приведён перечень</w:t>
            </w:r>
          </w:p>
        </w:tc>
      </w:tr>
      <w:tr>
        <w:tc>
          <w:tcPr>
            <w:tcW w:type="dxa" w:w="2880"/>
          </w:tcPr>
          <w:p>
            <w:r/>
            <w:r>
              <w:t>Введение</w:t>
            </w:r>
          </w:p>
        </w:tc>
        <w:tc>
          <w:tcPr>
            <w:tcW w:type="dxa" w:w="2880"/>
          </w:tcPr>
          <w:p>
            <w:r/>
            <w:r>
              <w:t>раздел 1</w:t>
            </w:r>
          </w:p>
        </w:tc>
        <w:tc>
          <w:tcPr>
            <w:tcW w:type="dxa" w:w="2880"/>
          </w:tcPr>
          <w:p>
            <w:r/>
            <w:r>
              <w:t>содержит актуальность, цель, задачи</w:t>
            </w:r>
          </w:p>
        </w:tc>
      </w:tr>
      <w:tr>
        <w:tc>
          <w:tcPr>
            <w:tcW w:type="dxa" w:w="2880"/>
          </w:tcPr>
          <w:p>
            <w:r/>
            <w:r>
              <w:t>Основная часть</w:t>
            </w:r>
          </w:p>
        </w:tc>
        <w:tc>
          <w:tcPr>
            <w:tcW w:type="dxa" w:w="2880"/>
          </w:tcPr>
          <w:p>
            <w:r/>
            <w:r>
              <w:t>разделы 2–7</w:t>
            </w:r>
          </w:p>
        </w:tc>
        <w:tc>
          <w:tcPr>
            <w:tcW w:type="dxa" w:w="2880"/>
          </w:tcPr>
          <w:p>
            <w:r/>
            <w:r>
              <w:t>метод, средство, данные, результаты</w:t>
            </w:r>
          </w:p>
        </w:tc>
      </w:tr>
      <w:tr>
        <w:tc>
          <w:tcPr>
            <w:tcW w:type="dxa" w:w="2880"/>
          </w:tcPr>
          <w:p>
            <w:r/>
            <w:r>
              <w:t>Заключение</w:t>
            </w:r>
          </w:p>
        </w:tc>
        <w:tc>
          <w:tcPr>
            <w:tcW w:type="dxa" w:w="2880"/>
          </w:tcPr>
          <w:p>
            <w:r/>
            <w:r>
              <w:t>раздел 10</w:t>
            </w:r>
          </w:p>
        </w:tc>
        <w:tc>
          <w:tcPr>
            <w:tcW w:type="dxa" w:w="2880"/>
          </w:tcPr>
          <w:p>
            <w:r/>
            <w:r>
              <w:t>выводы и разделение демонстрационных и научных результатов</w:t>
            </w:r>
          </w:p>
        </w:tc>
      </w:tr>
      <w:tr>
        <w:tc>
          <w:tcPr>
            <w:tcW w:type="dxa" w:w="2880"/>
          </w:tcPr>
          <w:p>
            <w:r/>
            <w:r>
              <w:t>Список использованных источников</w:t>
            </w:r>
          </w:p>
        </w:tc>
        <w:tc>
          <w:tcPr>
            <w:tcW w:type="dxa" w:w="2880"/>
          </w:tcPr>
          <w:p>
            <w:r/>
            <w:r>
              <w:t>раздел 11</w:t>
            </w:r>
          </w:p>
        </w:tc>
        <w:tc>
          <w:tcPr>
            <w:tcW w:type="dxa" w:w="2880"/>
          </w:tcPr>
          <w:p>
            <w:r/>
            <w:r>
              <w:t>оформляется по ГОСТ Р 7.0.5</w:t>
            </w:r>
          </w:p>
        </w:tc>
      </w:tr>
      <w:tr>
        <w:tc>
          <w:tcPr>
            <w:tcW w:type="dxa" w:w="2880"/>
          </w:tcPr>
          <w:p>
            <w:r/>
            <w:r>
              <w:t>Приложения</w:t>
            </w:r>
          </w:p>
        </w:tc>
        <w:tc>
          <w:tcPr>
            <w:tcW w:type="dxa" w:w="2880"/>
          </w:tcPr>
          <w:p>
            <w:r/>
            <w:r>
              <w:t>раздел 12</w:t>
            </w:r>
          </w:p>
        </w:tc>
        <w:tc>
          <w:tcPr>
            <w:tcW w:type="dxa" w:w="2880"/>
          </w:tcPr>
          <w:p>
            <w:r/>
            <w:r>
              <w:t>руководство пользователя, программа и методика приёмки, протоколы проверок</w:t>
            </w:r>
          </w:p>
        </w:tc>
      </w:tr>
    </w:tbl>
    <w:p/>
    <w:p>
      <w:r>
        <w:t xml:space="preserve">Оригинальность текста отчёта должна быть </w:t>
      </w:r>
      <w:r>
        <w:rPr>
          <w:b/>
        </w:rPr>
        <w:t>не менее 80 %</w:t>
      </w:r>
      <w:r>
        <w:t xml:space="preserve"> по внешней системе</w:t>
      </w:r>
    </w:p>
    <w:p>
      <w:r>
        <w:t>проверки; фактический процент и название системы проверки указываются в</w:t>
      </w:r>
    </w:p>
    <w:p>
      <w:r>
        <w:t>реферате. Проверка выполняется во внешней системе — порядок действий описан в</w:t>
      </w:r>
    </w:p>
    <w:p>
      <w:r>
        <w:rPr>
          <w:rFonts w:ascii="Consolas" w:hAnsi="Consolas"/>
          <w:color w:val="224488"/>
          <w:sz w:val="19"/>
        </w:rPr>
        <w:t>docs/ПРОВЕРКА_ОРИГИНАЛЬНОСТИ.md</w:t>
      </w:r>
      <w:r>
        <w:t>, туда же вносится результат (запись</w:t>
      </w:r>
    </w:p>
    <w:p>
      <w:r>
        <w:rPr>
          <w:rFonts w:ascii="Consolas" w:hAnsi="Consolas"/>
          <w:color w:val="224488"/>
          <w:sz w:val="19"/>
        </w:rPr>
        <w:t>report.originality_percent</w:t>
      </w:r>
      <w:r>
        <w:t xml:space="preserve"> в </w:t>
      </w:r>
      <w:r>
        <w:rPr>
          <w:rFonts w:ascii="Consolas" w:hAnsi="Consolas"/>
          <w:color w:val="224488"/>
          <w:sz w:val="19"/>
        </w:rPr>
        <w:t>reports/NUMBERS.json</w:t>
      </w:r>
      <w:r>
        <w:t>). Пока процент не измерен,</w:t>
      </w:r>
    </w:p>
    <w:p>
      <w:r>
        <w:t>в реферате стоит «не измерено» — оценку сюда не подставляют. Локальная сверка чисел отчёта с артефактами прогонов выполняется</w:t>
      </w:r>
    </w:p>
    <w:p>
      <w:r>
        <w:t xml:space="preserve">скриптом </w:t>
      </w:r>
      <w:r>
        <w:rPr>
          <w:rFonts w:ascii="Consolas" w:hAnsi="Consolas"/>
          <w:color w:val="224488"/>
          <w:sz w:val="19"/>
        </w:rPr>
        <w:t>scripts/check_numbers.py</w:t>
      </w:r>
      <w:r>
        <w:t xml:space="preserve"> (числа в текст не вписываются руками).</w:t>
      </w:r>
    </w:p>
    <w:p>
      <w:pPr>
        <w:pStyle w:val="Heading3"/>
      </w:pPr>
      <w:r>
        <w:t>0.1. Титульный лист</w:t>
      </w:r>
    </w:p>
    <w:p>
      <w:r>
        <w:t>Заполняется организацией: наименование организации-исполнителя, гриф</w:t>
      </w:r>
    </w:p>
    <w:p>
      <w:r>
        <w:t>утверждения, тема работы, шифр и номер проекта (117812), руководитель и</w:t>
      </w:r>
    </w:p>
    <w:p>
      <w:r>
        <w:t>исполнитель, город и год.</w:t>
      </w:r>
    </w:p>
    <w:p>
      <w:pPr>
        <w:pStyle w:val="Heading3"/>
      </w:pPr>
      <w:r>
        <w:t>0.2. Реферат</w:t>
      </w:r>
    </w:p>
    <w:p>
      <w:r>
        <w:rPr>
          <w:b/>
        </w:rPr>
        <w:t>Объём отчёта:</w:t>
      </w:r>
      <w:r>
        <w:t xml:space="preserve"> ___ страниц, </w:t>
      </w:r>
      <w:r>
        <w:rPr>
          <w:b/>
        </w:rPr>
        <w:t>иллюстраций:</w:t>
      </w:r>
      <w:r>
        <w:t xml:space="preserve"> ___, </w:t>
      </w:r>
      <w:r>
        <w:rPr>
          <w:b/>
        </w:rPr>
        <w:t>таблиц:</w:t>
      </w:r>
      <w:r>
        <w:t xml:space="preserve"> ___,</w:t>
      </w:r>
    </w:p>
    <w:p>
      <w:r>
        <w:rPr>
          <w:b/>
        </w:rPr>
        <w:t>источников:</w:t>
      </w:r>
      <w:r>
        <w:t xml:space="preserve"> ___, </w:t>
      </w:r>
      <w:r>
        <w:rPr>
          <w:b/>
        </w:rPr>
        <w:t>приложений:</w:t>
      </w:r>
      <w:r>
        <w:t xml:space="preserve"> ___ (заполняется по факту вёрстки;</w:t>
      </w:r>
    </w:p>
    <w:p>
      <w:r>
        <w:t>методика подсчёта — Приложение № 10).</w:t>
      </w:r>
    </w:p>
    <w:p>
      <w:r>
        <w:rPr>
          <w:b/>
        </w:rPr>
        <w:t>Ключевые слова</w:t>
      </w:r>
    </w:p>
    <w:p>
      <w:r>
        <w:t>проверка достоверности, языковая модель, внимание, галлюцинации, фрагменты текста, F1, локальное приложение</w:t>
      </w:r>
    </w:p>
    <w:p>
      <w:r>
        <w:rPr>
          <w:b/>
        </w:rPr>
        <w:t>Оригинальность текста:</w:t>
      </w:r>
      <w:r>
        <w:t xml:space="preserve"> ___ % (система проверки: ______________; заполняет</w:t>
      </w:r>
    </w:p>
    <w:p>
      <w:r>
        <w:t xml:space="preserve">получатель гранта по процедуре </w:t>
      </w:r>
      <w:r>
        <w:rPr>
          <w:rFonts w:ascii="Consolas" w:hAnsi="Consolas"/>
          <w:color w:val="224488"/>
          <w:sz w:val="19"/>
        </w:rPr>
        <w:t>docs/ПРОВЕРКА_ОРИГИНАЛЬНОСТИ.md</w:t>
      </w:r>
      <w:r>
        <w:t>, требование</w:t>
      </w:r>
    </w:p>
    <w:p>
      <w:r>
        <w:t>договора — не менее 80 %).</w:t>
      </w:r>
    </w:p>
    <w:p>
      <w:r>
        <w:t>Текст реферата: цель работы, метод, полученные результаты и их новизна,</w:t>
      </w:r>
    </w:p>
    <w:p>
      <w:r>
        <w:t>область применения, экономическая эффективность (при наличии). В реферате</w:t>
      </w:r>
    </w:p>
    <w:p>
      <w:r>
        <w:t>обязательно разделяются результаты на демонстрационном синтетическом корпусе и</w:t>
      </w:r>
    </w:p>
    <w:p>
      <w:r>
        <w:t>на реальных документах — это требование проекта к честности чисел.</w:t>
      </w:r>
    </w:p>
    <w:p>
      <w:pPr>
        <w:pStyle w:val="Heading3"/>
      </w:pPr>
      <w:r>
        <w:t>0.3. Термины и определения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Термин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320"/>
          </w:tcPr>
          <w:p>
            <w:r/>
            <w:r>
              <w:t>Достоверность текста относительно документа</w:t>
            </w:r>
          </w:p>
        </w:tc>
        <w:tc>
          <w:tcPr>
            <w:tcW w:type="dxa" w:w="4320"/>
          </w:tcPr>
          <w:p>
            <w:r/>
            <w:r>
              <w:t>отсутствие в тексте утверждений, противоречащих документу-источнику или не подтверждённых им</w:t>
            </w:r>
          </w:p>
        </w:tc>
      </w:tr>
      <w:tr>
        <w:tc>
          <w:tcPr>
            <w:tcW w:type="dxa" w:w="4320"/>
          </w:tcPr>
          <w:p>
            <w:r/>
            <w:r>
              <w:t>Галлюцинация</w:t>
            </w:r>
          </w:p>
        </w:tc>
        <w:tc>
          <w:tcPr>
            <w:tcW w:type="dxa" w:w="4320"/>
          </w:tcPr>
          <w:p>
            <w:r/>
            <w:r>
              <w:t>утверждение, не подтверждённое документом-источником или противоречащее ему</w:t>
            </w:r>
          </w:p>
        </w:tc>
      </w:tr>
      <w:tr>
        <w:tc>
          <w:tcPr>
            <w:tcW w:type="dxa" w:w="4320"/>
          </w:tcPr>
          <w:p>
            <w:r/>
            <w:r>
              <w:t>Признак токена</w:t>
            </w:r>
          </w:p>
        </w:tc>
        <w:tc>
          <w:tcPr>
            <w:tcW w:type="dxa" w:w="4320"/>
          </w:tcPr>
          <w:p>
            <w:r/>
            <w:r>
              <w:t>числовая характеристика токена ответа, вычисляемая по состоянию модели и документу</w:t>
            </w:r>
          </w:p>
        </w:tc>
      </w:tr>
      <w:tr>
        <w:tc>
          <w:tcPr>
            <w:tcW w:type="dxa" w:w="4320"/>
          </w:tcPr>
          <w:p>
            <w:r/>
            <w:r>
              <w:t>Доля участия ИИ</w:t>
            </w:r>
          </w:p>
        </w:tc>
        <w:tc>
          <w:tcPr>
            <w:tcW w:type="dxa" w:w="4320"/>
          </w:tcPr>
          <w:p>
            <w:r/>
            <w:r>
              <w:t>оценка в диапазоне 0…1 того, какая часть текста порождена языковой моделью</w:t>
            </w:r>
          </w:p>
        </w:tc>
      </w:tr>
      <w:tr>
        <w:tc>
          <w:tcPr>
            <w:tcW w:type="dxa" w:w="4320"/>
          </w:tcPr>
          <w:p>
            <w:r/>
            <w:r>
              <w:t>Фрагмент (спан)</w:t>
            </w:r>
          </w:p>
        </w:tc>
        <w:tc>
          <w:tcPr>
            <w:tcW w:type="dxa" w:w="4320"/>
          </w:tcPr>
          <w:p>
            <w:r/>
            <w:r>
              <w:t>интервал символов ответа, помеченный как сомнительный, с меткой и уровнем уверенности</w:t>
            </w:r>
          </w:p>
        </w:tc>
      </w:tr>
      <w:tr>
        <w:tc>
          <w:tcPr>
            <w:tcW w:type="dxa" w:w="4320"/>
          </w:tcPr>
          <w:p>
            <w:r/>
            <w:r>
              <w:t>F1 по токенам</w:t>
            </w:r>
          </w:p>
        </w:tc>
        <w:tc>
          <w:tcPr>
            <w:tcW w:type="dxa" w:w="4320"/>
          </w:tcPr>
          <w:p>
            <w:r/>
            <w:r>
              <w:t>гармоническое среднее точности и полноты разметки токенов</w:t>
            </w:r>
          </w:p>
        </w:tc>
      </w:tr>
      <w:tr>
        <w:tc>
          <w:tcPr>
            <w:tcW w:type="dxa" w:w="4320"/>
          </w:tcPr>
          <w:p>
            <w:r/>
            <w:r>
              <w:t>FPR</w:t>
            </w:r>
          </w:p>
        </w:tc>
        <w:tc>
          <w:tcPr>
            <w:tcW w:type="dxa" w:w="4320"/>
          </w:tcPr>
          <w:p>
            <w:r/>
            <w:r>
              <w:t>доля ложных срабатываний на токенах, подтверждённых документом</w:t>
            </w:r>
          </w:p>
        </w:tc>
      </w:tr>
    </w:tbl>
    <w:p/>
    <w:p>
      <w:pPr>
        <w:pStyle w:val="Heading3"/>
      </w:pPr>
      <w:r>
        <w:t>0.4. Сокращения и обозначения (перечень сокращений и обозначений)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Сокращение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Расшифровка</w:t>
            </w:r>
          </w:p>
        </w:tc>
      </w:tr>
      <w:tr>
        <w:tc>
          <w:tcPr>
            <w:tcW w:type="dxa" w:w="4320"/>
          </w:tcPr>
          <w:p>
            <w:r/>
            <w:r>
              <w:t>НИР</w:t>
            </w:r>
          </w:p>
        </w:tc>
        <w:tc>
          <w:tcPr>
            <w:tcW w:type="dxa" w:w="4320"/>
          </w:tcPr>
          <w:p>
            <w:r/>
            <w:r>
              <w:t>научно-исследовательская работа</w:t>
            </w:r>
          </w:p>
        </w:tc>
      </w:tr>
      <w:tr>
        <w:tc>
          <w:tcPr>
            <w:tcW w:type="dxa" w:w="4320"/>
          </w:tcPr>
          <w:p>
            <w:r/>
            <w:r>
              <w:t>ТЗ</w:t>
            </w:r>
          </w:p>
        </w:tc>
        <w:tc>
          <w:tcPr>
            <w:tcW w:type="dxa" w:w="4320"/>
          </w:tcPr>
          <w:p>
            <w:r/>
            <w:r>
              <w:t>техническое задание</w:t>
            </w:r>
          </w:p>
        </w:tc>
      </w:tr>
      <w:tr>
        <w:tc>
          <w:tcPr>
            <w:tcW w:type="dxa" w:w="4320"/>
          </w:tcPr>
          <w:p>
            <w:r/>
            <w:r>
              <w:t>РИД</w:t>
            </w:r>
          </w:p>
        </w:tc>
        <w:tc>
          <w:tcPr>
            <w:tcW w:type="dxa" w:w="4320"/>
          </w:tcPr>
          <w:p>
            <w:r/>
            <w:r>
              <w:t>результат интеллектуальной деятельности</w:t>
            </w:r>
          </w:p>
        </w:tc>
      </w:tr>
      <w:tr>
        <w:tc>
          <w:tcPr>
            <w:tcW w:type="dxa" w:w="4320"/>
          </w:tcPr>
          <w:p>
            <w:r/>
            <w:r>
              <w:t>CLI</w:t>
            </w:r>
          </w:p>
        </w:tc>
        <w:tc>
          <w:tcPr>
            <w:tcW w:type="dxa" w:w="4320"/>
          </w:tcPr>
          <w:p>
            <w:r/>
            <w:r>
              <w:t>интерфейс командной строки</w:t>
            </w:r>
          </w:p>
        </w:tc>
      </w:tr>
      <w:tr>
        <w:tc>
          <w:tcPr>
            <w:tcW w:type="dxa" w:w="4320"/>
          </w:tcPr>
          <w:p>
            <w:r/>
            <w:r>
              <w:t>API</w:t>
            </w:r>
          </w:p>
        </w:tc>
        <w:tc>
          <w:tcPr>
            <w:tcW w:type="dxa" w:w="4320"/>
          </w:tcPr>
          <w:p>
            <w:r/>
            <w:r>
              <w:t>программный интерфейс приложения</w:t>
            </w:r>
          </w:p>
        </w:tc>
      </w:tr>
      <w:tr>
        <w:tc>
          <w:tcPr>
            <w:tcW w:type="dxa" w:w="4320"/>
          </w:tcPr>
          <w:p>
            <w:r/>
            <w:r>
              <w:t>F1</w:t>
            </w:r>
          </w:p>
        </w:tc>
        <w:tc>
          <w:tcPr>
            <w:tcW w:type="dxa" w:w="4320"/>
          </w:tcPr>
          <w:p>
            <w:r/>
            <w:r>
              <w:t>метрика качества (гармоническое среднее точности и полноты)</w:t>
            </w:r>
          </w:p>
        </w:tc>
      </w:tr>
      <w:tr>
        <w:tc>
          <w:tcPr>
            <w:tcW w:type="dxa" w:w="4320"/>
          </w:tcPr>
          <w:p>
            <w:r/>
            <w:r>
              <w:t>FPR</w:t>
            </w:r>
          </w:p>
        </w:tc>
        <w:tc>
          <w:tcPr>
            <w:tcW w:type="dxa" w:w="4320"/>
          </w:tcPr>
          <w:p>
            <w:r/>
            <w:r>
              <w:t>доля ложных срабатываний</w:t>
            </w:r>
          </w:p>
        </w:tc>
      </w:tr>
      <w:tr>
        <w:tc>
          <w:tcPr>
            <w:tcW w:type="dxa" w:w="4320"/>
          </w:tcPr>
          <w:p>
            <w:r/>
            <w:r>
              <w:t>AUC</w:t>
            </w:r>
          </w:p>
        </w:tc>
        <w:tc>
          <w:tcPr>
            <w:tcW w:type="dxa" w:w="4320"/>
          </w:tcPr>
          <w:p>
            <w:r/>
            <w:r>
              <w:t>площадь под ROC-кривой</w:t>
            </w:r>
          </w:p>
        </w:tc>
      </w:tr>
      <w:tr>
        <w:tc>
          <w:tcPr>
            <w:tcW w:type="dxa" w:w="4320"/>
          </w:tcPr>
          <w:p>
            <w:r/>
            <w:r>
              <w:t>IoU</w:t>
            </w:r>
          </w:p>
        </w:tc>
        <w:tc>
          <w:tcPr>
            <w:tcW w:type="dxa" w:w="4320"/>
          </w:tcPr>
          <w:p>
            <w:r/>
            <w:r>
              <w:t>отношение пересечения к объединению (мера совпадения фрагментов)</w:t>
            </w:r>
          </w:p>
        </w:tc>
      </w:tr>
      <w:tr>
        <w:tc>
          <w:tcPr>
            <w:tcW w:type="dxa" w:w="4320"/>
          </w:tcPr>
          <w:p>
            <w:r/>
            <w:r>
              <w:t>UTF-8</w:t>
            </w:r>
          </w:p>
        </w:tc>
        <w:tc>
          <w:tcPr>
            <w:tcW w:type="dxa" w:w="4320"/>
          </w:tcPr>
          <w:p>
            <w:r/>
            <w:r>
              <w:t>кодировка текста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Введение</w:t>
      </w:r>
    </w:p>
    <w:p>
      <w:r>
        <w:t>Работа посвящена проверке достоверности текста относительно</w:t>
      </w:r>
    </w:p>
    <w:p>
      <w:r>
        <w:t>документа-источника. Практическая потребность: ответы, подготовленные по</w:t>
      </w:r>
    </w:p>
    <w:p>
      <w:r>
        <w:t>документам (справки, выписки из регламентов, обобщения инструкций), могут</w:t>
      </w:r>
    </w:p>
    <w:p>
      <w:r>
        <w:t>содержать числа, сроки и ссылки, которых в источнике нет, при этом внешне текст</w:t>
      </w:r>
    </w:p>
    <w:p>
      <w:r>
        <w:t>выглядит достоверным. Ручная проверка несистематична, а существующие средства</w:t>
      </w:r>
    </w:p>
    <w:p>
      <w:r>
        <w:t>либо оценивают «похожесть на машинный текст» без обращения к документу, либо</w:t>
      </w:r>
    </w:p>
    <w:p>
      <w:r>
        <w:t>требуют обращения к внешним базам знаний.</w:t>
      </w:r>
    </w:p>
    <w:p>
      <w:pPr>
        <w:pStyle w:val="Heading2"/>
      </w:pPr>
      <w:r>
        <w:t>2. Постановка задачи</w:t>
      </w:r>
    </w:p>
    <w:p>
      <w:r>
        <w:t>Дано: документ (контекст) $C$ и ответ $A$. Требуется:</w:t>
      </w:r>
    </w:p>
    <w:p>
      <w:pPr>
        <w:pStyle w:val="ListNumber"/>
      </w:pPr>
      <w:r>
        <w:t>получить по каждому токену ответа оценку риска недостоверности;</w:t>
      </w:r>
    </w:p>
    <w:p>
      <w:pPr>
        <w:pStyle w:val="ListNumber"/>
      </w:pPr>
      <w:r>
        <w:t>выделить связные фрагменты ответа, не подтверждённые документом, и указать</w:t>
      </w:r>
    </w:p>
    <w:p>
      <w:r>
        <w:t xml:space="preserve">   их метки;</w:t>
      </w:r>
    </w:p>
    <w:p>
      <w:pPr>
        <w:pStyle w:val="ListNumber"/>
      </w:pPr>
      <w:r>
        <w:t>получить оценку достоверности ответа в целом с порогом, обеспечивающим</w:t>
      </w:r>
    </w:p>
    <w:p>
      <w:r>
        <w:t xml:space="preserve">   заданный уровень ложных срабатываний.</w:t>
      </w:r>
    </w:p>
    <w:p>
      <w:r>
        <w:t>Ограничение: обработка выполняется локально, без внешних сервисов.</w:t>
      </w:r>
    </w:p>
    <w:p>
      <w:pPr>
        <w:pStyle w:val="Heading2"/>
      </w:pPr>
      <w:r>
        <w:t>3. Обзор подходов</w:t>
      </w:r>
    </w:p>
    <w:p>
      <w:r>
        <w:t>Рассматриваются три группы методов: (а) определение «написан ли текст моделью»</w:t>
      </w:r>
    </w:p>
    <w:p>
      <w:r>
        <w:t>без обращения к источнику; (б) проверка опоры текста на источник через внешние</w:t>
      </w:r>
    </w:p>
    <w:p>
      <w:r>
        <w:t>хранилища фактов; (в) локальные методы на основе внутренних сигналов языковой</w:t>
      </w:r>
    </w:p>
    <w:p>
      <w:r>
        <w:t>модели (внимание, представления). Работа развивает третью группу: она не требует</w:t>
      </w:r>
    </w:p>
    <w:p>
      <w:r>
        <w:t>внешних баз знаний и позволяет указать конкретные неподтверждённые фрагменты.</w:t>
      </w:r>
    </w:p>
    <w:p>
      <w:pPr>
        <w:pStyle w:val="Heading2"/>
      </w:pPr>
      <w:r>
        <w:t>4. Метод</w:t>
      </w:r>
    </w:p>
    <w:p>
      <w:pPr>
        <w:pStyle w:val="Heading3"/>
      </w:pPr>
      <w:r>
        <w:t>4.1. Признаки (по токенам ответа, диапазон [0, 1])</w:t>
      </w:r>
    </w:p>
    <w:p>
      <w:pPr>
        <w:pStyle w:val="ListNumber"/>
      </w:pPr>
      <w:r>
        <w:rPr>
          <w:b/>
        </w:rPr>
        <w:t>Нормированная энтропия внимания</w:t>
      </w:r>
      <w:r>
        <w:t xml:space="preserve"> выбранного слоя — мера размытости</w:t>
      </w:r>
    </w:p>
    <w:p>
      <w:r>
        <w:t xml:space="preserve">   распределения внимания.</w:t>
      </w:r>
    </w:p>
    <w:p>
      <w:pPr>
        <w:pStyle w:val="ListNumber"/>
      </w:pPr>
      <w:r>
        <w:rPr>
          <w:b/>
        </w:rPr>
        <w:t>Доля массы внимания на документ</w:t>
      </w:r>
      <w:r>
        <w:t xml:space="preserve"> — суммарное внимание токена к позициям</w:t>
      </w:r>
    </w:p>
    <w:p>
      <w:r>
        <w:t xml:space="preserve">   контекста. Входит в риск с </w:t>
      </w:r>
      <w:r>
        <w:rPr>
          <w:b/>
        </w:rPr>
        <w:t>отрицательным</w:t>
      </w:r>
      <w:r>
        <w:t xml:space="preserve"> знаком: больше опоры — меньше</w:t>
      </w:r>
    </w:p>
    <w:p>
      <w:r>
        <w:t xml:space="preserve">   риска.</w:t>
      </w:r>
    </w:p>
    <w:p>
      <w:pPr>
        <w:pStyle w:val="ListNumber"/>
      </w:pPr>
      <w:r>
        <w:rPr>
          <w:b/>
        </w:rPr>
        <w:t>Плотность близости представлений</w:t>
      </w:r>
      <w:r>
        <w:t xml:space="preserve"> — среднее косинусное сходство</w:t>
      </w:r>
    </w:p>
    <w:p>
      <w:r>
        <w:t xml:space="preserve">   представления токена с $k$ ближайшими токенами контекста (базовый уровень без</w:t>
      </w:r>
    </w:p>
    <w:p>
      <w:r>
        <w:t xml:space="preserve">   использования внимания).</w:t>
      </w:r>
    </w:p>
    <w:p>
      <w:pPr>
        <w:pStyle w:val="Heading3"/>
      </w:pPr>
      <w:r>
        <w:t>4.2. Агрегация</w:t>
      </w:r>
    </w:p>
    <w:p>
      <w:r>
        <w:t>$r = w_1 hat{H} + w_2 (1 - hat{m}) + w_3 hat{d}$; веса подбираются перебором по</w:t>
      </w:r>
    </w:p>
    <w:p>
      <w:r>
        <w:t>сетке с суммой 1 по AUC на обучающей части. Далее: центрированное сглаживание</w:t>
      </w:r>
    </w:p>
    <w:p>
      <w:r>
        <w:t>окном 3 с весом центра 0.6 (сохраняет узкие подмены); порог маски</w:t>
      </w:r>
    </w:p>
    <w:p>
      <w:r>
        <w:t>$T = mu + z cdot sigma$, ограниченный снизу и сверху; склейка соседних</w:t>
      </w:r>
    </w:p>
    <w:p>
      <w:r>
        <w:t>помеченных токенов; расширение до границ предложения; метка</w:t>
      </w:r>
    </w:p>
    <w:p>
      <w:r>
        <w:rPr>
          <w:rFonts w:ascii="Consolas" w:hAnsi="Consolas"/>
          <w:color w:val="224488"/>
          <w:sz w:val="19"/>
        </w:rPr>
        <w:t>likely_hallucination</w:t>
      </w:r>
      <w:r>
        <w:t xml:space="preserve"> при риске ≥ 0.75, иначе </w:t>
      </w:r>
      <w:r>
        <w:rPr>
          <w:rFonts w:ascii="Consolas" w:hAnsi="Consolas"/>
          <w:color w:val="224488"/>
          <w:sz w:val="19"/>
        </w:rPr>
        <w:t>doubtful</w:t>
      </w:r>
      <w:r>
        <w:t>.</w:t>
      </w:r>
    </w:p>
    <w:p>
      <w:r>
        <w:t>Несодержательные токены (пунктуация и короткие служебные слова) исключаются из</w:t>
      </w:r>
    </w:p>
    <w:p>
      <w:r>
        <w:t>оценки риска и из метрик: их нельзя «выдумать», и они не должны размывать</w:t>
      </w:r>
    </w:p>
    <w:p>
      <w:r>
        <w:t>соседние пики.</w:t>
      </w:r>
    </w:p>
    <w:p>
      <w:pPr>
        <w:pStyle w:val="Heading3"/>
      </w:pPr>
      <w:r>
        <w:t>4.3. Оценка ответа, калибровка, обучение</w:t>
      </w:r>
    </w:p>
    <w:p>
      <w:r>
        <w:t>Оценка ответа $s = 0.5 cdot overline{r} + 0.5 cdot overline{r}_{top20%}$.</w:t>
      </w:r>
    </w:p>
    <w:p>
      <w:r>
        <w:t>Калибровка — изотоническая регрессия (PAVA). Порог решения — по целевому уровню</w:t>
      </w:r>
    </w:p>
    <w:p>
      <w:r>
        <w:t xml:space="preserve">ложных срабатываний </w:t>
      </w:r>
      <w:r>
        <w:rPr>
          <w:b/>
        </w:rPr>
        <w:t>на обучающей части</w:t>
      </w:r>
      <w:r>
        <w:t>; тестовая часть не используется для</w:t>
      </w:r>
    </w:p>
    <w:p>
      <w:r>
        <w:t>подбора порога. Дополнительно обучается решающая голова (логистическая регрессия</w:t>
      </w:r>
    </w:p>
    <w:p>
      <w:r>
        <w:t>по признакам токена с 5-кратной кросс-валидацией) и применяется только в том</w:t>
      </w:r>
    </w:p>
    <w:p>
      <w:r>
        <w:t>случае, если превосходит пороговое правило по F1 при том же ограничении на FPR.</w:t>
      </w:r>
    </w:p>
    <w:p>
      <w:pPr>
        <w:pStyle w:val="Heading2"/>
      </w:pPr>
      <w:r>
        <w:t>5. Программное средство</w:t>
      </w:r>
    </w:p>
    <w:p>
      <w:pPr>
        <w:pStyle w:val="ListBullet"/>
      </w:pPr>
      <w:r>
        <w:t>Ядро — стандартная библиотека Python 3.10+ (без обязательных зависимостей).</w:t>
      </w:r>
    </w:p>
    <w:p>
      <w:pPr>
        <w:pStyle w:val="ListBullet"/>
      </w:pPr>
      <w:r>
        <w:t xml:space="preserve">Режимы: </w:t>
      </w:r>
      <w:r>
        <w:rPr>
          <w:rFonts w:ascii="Consolas" w:hAnsi="Consolas"/>
          <w:color w:val="224488"/>
          <w:sz w:val="19"/>
        </w:rPr>
        <w:t>demo</w:t>
      </w:r>
      <w:r>
        <w:t xml:space="preserve"> (лексические суррогаты признаков) и </w:t>
      </w:r>
      <w:r>
        <w:rPr>
          <w:rFonts w:ascii="Consolas" w:hAnsi="Consolas"/>
          <w:color w:val="224488"/>
          <w:sz w:val="19"/>
        </w:rPr>
        <w:t>hf</w:t>
      </w:r>
      <w:r>
        <w:t xml:space="preserve"> (реальная модель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torch</w:t>
      </w:r>
      <w:r>
        <w:t xml:space="preserve"> + </w:t>
      </w:r>
      <w:r>
        <w:rPr>
          <w:rFonts w:ascii="Consolas" w:hAnsi="Consolas"/>
          <w:color w:val="224488"/>
          <w:sz w:val="19"/>
        </w:rPr>
        <w:t>transformers</w:t>
      </w:r>
      <w:r>
        <w:t>).</w:t>
      </w:r>
    </w:p>
    <w:p>
      <w:pPr>
        <w:pStyle w:val="ListBullet"/>
      </w:pPr>
      <w:r>
        <w:t>Интерфейсы: HTTP (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, </w:t>
      </w:r>
      <w:r>
        <w:rPr>
          <w:rFonts w:ascii="Consolas" w:hAnsi="Consolas"/>
          <w:color w:val="224488"/>
          <w:sz w:val="19"/>
        </w:rPr>
        <w:t>GET /health|/v1/config|/v1/model</w:t>
      </w:r>
      <w:r>
        <w:t xml:space="preserve">, </w:t>
      </w:r>
      <w:r>
        <w:rPr>
          <w:rFonts w:ascii="Consolas" w:hAnsi="Consolas"/>
          <w:color w:val="224488"/>
          <w:sz w:val="19"/>
        </w:rPr>
        <w:t>/</w:t>
      </w:r>
      <w:r>
        <w:t>),</w:t>
      </w:r>
    </w:p>
    <w:p>
      <w:r>
        <w:t xml:space="preserve">  командная строка (</w:t>
      </w:r>
      <w:r>
        <w:rPr>
          <w:rFonts w:ascii="Consolas" w:hAnsi="Consolas"/>
          <w:color w:val="224488"/>
          <w:sz w:val="19"/>
        </w:rPr>
        <w:t>verify</w:t>
      </w:r>
      <w:r>
        <w:t xml:space="preserve">, </w:t>
      </w:r>
      <w:r>
        <w:rPr>
          <w:rFonts w:ascii="Consolas" w:hAnsi="Consolas"/>
          <w:color w:val="224488"/>
          <w:sz w:val="19"/>
        </w:rPr>
        <w:t>train</w:t>
      </w:r>
      <w:r>
        <w:t xml:space="preserve">, </w:t>
      </w:r>
      <w:r>
        <w:rPr>
          <w:rFonts w:ascii="Consolas" w:hAnsi="Consolas"/>
          <w:color w:val="224488"/>
          <w:sz w:val="19"/>
        </w:rPr>
        <w:t>calibrate</w:t>
      </w:r>
      <w:r>
        <w:t xml:space="preserve">, </w:t>
      </w:r>
      <w:r>
        <w:rPr>
          <w:rFonts w:ascii="Consolas" w:hAnsi="Consolas"/>
          <w:color w:val="224488"/>
          <w:sz w:val="19"/>
        </w:rPr>
        <w:t>evaluate</w:t>
      </w:r>
      <w:r>
        <w:t xml:space="preserve">, </w:t>
      </w:r>
      <w:r>
        <w:rPr>
          <w:rFonts w:ascii="Consolas" w:hAnsi="Consolas"/>
          <w:color w:val="224488"/>
          <w:sz w:val="19"/>
        </w:rPr>
        <w:t>selftest</w:t>
      </w:r>
      <w:r>
        <w:t>,</w:t>
      </w:r>
    </w:p>
    <w:p>
      <w:r>
        <w:t xml:space="preserve">  </w:t>
      </w:r>
      <w:r>
        <w:rPr>
          <w:rFonts w:ascii="Consolas" w:hAnsi="Consolas"/>
          <w:color w:val="224488"/>
          <w:sz w:val="19"/>
        </w:rPr>
        <w:t>server</w:t>
      </w:r>
      <w:r>
        <w:t xml:space="preserve">, </w:t>
      </w:r>
      <w:r>
        <w:rPr>
          <w:rFonts w:ascii="Consolas" w:hAnsi="Consolas"/>
          <w:color w:val="224488"/>
          <w:sz w:val="19"/>
        </w:rPr>
        <w:t>demo</w:t>
      </w:r>
      <w:r>
        <w:t xml:space="preserve">, </w:t>
      </w:r>
      <w:r>
        <w:rPr>
          <w:rFonts w:ascii="Consolas" w:hAnsi="Consolas"/>
          <w:color w:val="224488"/>
          <w:sz w:val="19"/>
        </w:rPr>
        <w:t>analyze</w:t>
      </w:r>
      <w:r>
        <w:t>), встроенная веб-страница.</w:t>
      </w:r>
    </w:p>
    <w:p>
      <w:pPr>
        <w:pStyle w:val="ListBullet"/>
      </w:pPr>
      <w:r>
        <w:t>Приложение для Windows — один файл; параметры метода упакованы внутрь, при</w:t>
      </w:r>
    </w:p>
    <w:p>
      <w:r>
        <w:t xml:space="preserve">  запуске без папки </w:t>
      </w:r>
      <w:r>
        <w:rPr>
          <w:rFonts w:ascii="Consolas" w:hAnsi="Consolas"/>
          <w:color w:val="224488"/>
          <w:sz w:val="19"/>
        </w:rPr>
        <w:t>config/</w:t>
      </w:r>
      <w:r>
        <w:t xml:space="preserve"> используются встроенные (проверяется в CI).</w:t>
      </w:r>
    </w:p>
    <w:p>
      <w:pPr>
        <w:pStyle w:val="Heading2"/>
      </w:pPr>
      <w:r>
        <w:t>6. Данные, метрики и процедура оценки</w:t>
      </w:r>
    </w:p>
    <w:p>
      <w:pPr>
        <w:pStyle w:val="ListBullet"/>
      </w:pPr>
      <w:r>
        <w:rPr>
          <w:b/>
        </w:rPr>
        <w:t>Демонстрационный набор:</w:t>
      </w:r>
      <w:r>
        <w:t xml:space="preserve"> 240 пар «документ — ответ» трёх типов</w:t>
      </w:r>
    </w:p>
    <w:p>
      <w:r>
        <w:t xml:space="preserve">  (подтверждённый ответ, подмена числового значения, выдуманное утверждение),</w:t>
      </w:r>
    </w:p>
    <w:p>
      <w:r>
        <w:t xml:space="preserve">  разметка по символам ответа; разделение 70/30 по парам (seed 42).</w:t>
      </w:r>
    </w:p>
    <w:p>
      <w:r>
        <w:t xml:space="preserve">  Набор </w:t>
      </w:r>
      <w:r>
        <w:rPr>
          <w:b/>
        </w:rPr>
        <w:t>синтетический</w:t>
      </w:r>
      <w:r>
        <w:t xml:space="preserve"> — это ограничивает выводы.</w:t>
      </w:r>
    </w:p>
    <w:p>
      <w:pPr>
        <w:pStyle w:val="ListBullet"/>
      </w:pPr>
      <w:r>
        <w:rPr>
          <w:b/>
        </w:rPr>
        <w:t>Метрики:</w:t>
      </w:r>
      <w:r>
        <w:t xml:space="preserve"> precision, recall, F1 по токенам, FPR, AUC; полнота накрытия</w:t>
      </w:r>
    </w:p>
    <w:p>
      <w:r>
        <w:t xml:space="preserve">  фрагментов и F1 по фрагментам при расширенной разметке; метрики уровня ответа.</w:t>
      </w:r>
    </w:p>
    <w:p>
      <w:pPr>
        <w:pStyle w:val="ListBullet"/>
      </w:pPr>
      <w:r>
        <w:rPr>
          <w:b/>
        </w:rPr>
        <w:t>Пилот:</w:t>
      </w:r>
      <w:r>
        <w:t xml:space="preserve"> контрастные пары «с опорой»/«без опоры»; в каждой паре ответы</w:t>
      </w:r>
    </w:p>
    <w:p>
      <w:r>
        <w:t xml:space="preserve">  совпадают по шаблону и отличаются </w:t>
      </w:r>
      <w:r>
        <w:rPr>
          <w:b/>
        </w:rPr>
        <w:t>одним числом</w:t>
      </w:r>
      <w:r>
        <w:t xml:space="preserve"> (трудный случай). Признаки</w:t>
      </w:r>
    </w:p>
    <w:p>
      <w:r>
        <w:t xml:space="preserve">  считаются реальной моделью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 xml:space="preserve"> на CPU;</w:t>
      </w:r>
    </w:p>
    <w:p>
      <w:r>
        <w:t xml:space="preserve">  анализ — по слоям (</w:t>
      </w:r>
      <w:r>
        <w:rPr>
          <w:rFonts w:ascii="Consolas" w:hAnsi="Consolas"/>
          <w:color w:val="224488"/>
          <w:sz w:val="19"/>
        </w:rPr>
        <w:t>first</w:t>
      </w:r>
      <w:r>
        <w:t xml:space="preserve">, </w:t>
      </w:r>
      <w:r>
        <w:rPr>
          <w:rFonts w:ascii="Consolas" w:hAnsi="Consolas"/>
          <w:color w:val="224488"/>
          <w:sz w:val="19"/>
        </w:rPr>
        <w:t>middle</w:t>
      </w:r>
      <w:r>
        <w:t xml:space="preserve">, </w:t>
      </w:r>
      <w:r>
        <w:rPr>
          <w:rFonts w:ascii="Consolas" w:hAnsi="Consolas"/>
          <w:color w:val="224488"/>
          <w:sz w:val="19"/>
        </w:rPr>
        <w:t>-4</w:t>
      </w:r>
      <w:r>
        <w:t xml:space="preserve">, </w:t>
      </w:r>
      <w:r>
        <w:rPr>
          <w:rFonts w:ascii="Consolas" w:hAnsi="Consolas"/>
          <w:color w:val="224488"/>
          <w:sz w:val="19"/>
        </w:rPr>
        <w:t>last</w:t>
      </w:r>
      <w:r>
        <w:t>) с доверительными</w:t>
      </w:r>
    </w:p>
    <w:p>
      <w:r>
        <w:t xml:space="preserve">  интервалами методом бутстрэпа (5000 итераций) и </w:t>
      </w:r>
      <w:r>
        <w:rPr>
          <w:b/>
        </w:rPr>
        <w:t>парным</w:t>
      </w:r>
      <w:r>
        <w:t xml:space="preserve"> сравнением</w:t>
      </w:r>
    </w:p>
    <w:p>
      <w:r>
        <w:t xml:space="preserve">  (разница внутри пары, что исключает вариативность жанра).</w:t>
      </w:r>
    </w:p>
    <w:p>
      <w:pPr>
        <w:pStyle w:val="Heading2"/>
      </w:pPr>
      <w:r>
        <w:t>7. Результаты</w:t>
      </w:r>
    </w:p>
    <w:p>
      <w:pPr>
        <w:pStyle w:val="Heading3"/>
      </w:pPr>
      <w:r>
        <w:t>7.1. Оценка на отложенной части демонстрационного набора</w:t>
      </w:r>
    </w:p>
    <w:p>
      <w:r>
        <w:t>Все числа получены тем же кодом, который обслуживает HTTP-интерфейс (сквозная</w:t>
      </w:r>
    </w:p>
    <w:p>
      <w:r>
        <w:t xml:space="preserve">проверка через </w:t>
      </w:r>
      <w:r>
        <w:rPr>
          <w:rFonts w:ascii="Consolas" w:hAnsi="Consolas"/>
          <w:color w:val="224488"/>
          <w:sz w:val="19"/>
        </w:rPr>
        <w:t>verify()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Отложенная часть, 72 пары (</w:t>
            </w:r>
            <w:r>
              <w:rPr>
                <w:rFonts w:ascii="Consolas" w:hAnsi="Consolas"/>
                <w:b/>
                <w:color w:val="224488"/>
                <w:sz w:val="19"/>
              </w:rPr>
              <w:t>train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Весь корпус, 240 пар (</w:t>
            </w:r>
            <w:r>
              <w:rPr>
                <w:rFonts w:ascii="Consolas" w:hAnsi="Consolas"/>
                <w:b/>
                <w:color w:val="224488"/>
                <w:sz w:val="19"/>
              </w:rPr>
              <w:t>evaluate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token precision</w:t>
            </w:r>
          </w:p>
        </w:tc>
        <w:tc>
          <w:tcPr>
            <w:tcW w:type="dxa" w:w="2880"/>
          </w:tcPr>
          <w:p>
            <w:r/>
            <w:r>
              <w:t>0.991</w:t>
            </w:r>
          </w:p>
        </w:tc>
        <w:tc>
          <w:tcPr>
            <w:tcW w:type="dxa" w:w="2880"/>
          </w:tcPr>
          <w:p>
            <w:r/>
            <w:r>
              <w:t>0.976</w:t>
            </w:r>
          </w:p>
        </w:tc>
      </w:tr>
      <w:tr>
        <w:tc>
          <w:tcPr>
            <w:tcW w:type="dxa" w:w="2880"/>
          </w:tcPr>
          <w:p>
            <w:r/>
            <w:r>
              <w:t>token recall</w:t>
            </w:r>
          </w:p>
        </w:tc>
        <w:tc>
          <w:tcPr>
            <w:tcW w:type="dxa" w:w="2880"/>
          </w:tcPr>
          <w:p>
            <w:r/>
            <w:r>
              <w:t>0.926</w:t>
            </w:r>
          </w:p>
        </w:tc>
        <w:tc>
          <w:tcPr>
            <w:tcW w:type="dxa" w:w="2880"/>
          </w:tcPr>
          <w:p>
            <w:r/>
            <w:r>
              <w:t>0.934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token 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0.958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0.955</w:t>
            </w:r>
          </w:p>
        </w:tc>
      </w:tr>
      <w:tr>
        <w:tc>
          <w:tcPr>
            <w:tcW w:type="dxa" w:w="2880"/>
          </w:tcPr>
          <w:p>
            <w:r/>
            <w:r>
              <w:t>FPR по токенам</w:t>
            </w:r>
          </w:p>
        </w:tc>
        <w:tc>
          <w:tcPr>
            <w:tcW w:type="dxa" w:w="2880"/>
          </w:tcPr>
          <w:p>
            <w:r/>
            <w:r>
              <w:t>0.002</w:t>
            </w:r>
          </w:p>
        </w:tc>
        <w:tc>
          <w:tcPr>
            <w:tcW w:type="dxa" w:w="2880"/>
          </w:tcPr>
          <w:p>
            <w:r/>
            <w:r>
              <w:t>0.005</w:t>
            </w:r>
          </w:p>
        </w:tc>
      </w:tr>
      <w:tr>
        <w:tc>
          <w:tcPr>
            <w:tcW w:type="dxa" w:w="2880"/>
          </w:tcPr>
          <w:p>
            <w:r/>
            <w:r>
              <w:t>AUC по токенам</w:t>
            </w:r>
          </w:p>
        </w:tc>
        <w:tc>
          <w:tcPr>
            <w:tcW w:type="dxa" w:w="2880"/>
          </w:tcPr>
          <w:p>
            <w:r/>
            <w:r>
              <w:t>0.996</w:t>
            </w:r>
          </w:p>
        </w:tc>
        <w:tc>
          <w:tcPr>
            <w:tcW w:type="dxa" w:w="2880"/>
          </w:tcPr>
          <w:p>
            <w:r/>
            <w:r>
              <w:t>0.997</w:t>
            </w:r>
          </w:p>
        </w:tc>
      </w:tr>
      <w:tr>
        <w:tc>
          <w:tcPr>
            <w:tcW w:type="dxa" w:w="2880"/>
          </w:tcPr>
          <w:p>
            <w:r/>
            <w:r>
              <w:t>Ответы: precision / recall / F1 / FPR</w:t>
            </w:r>
          </w:p>
        </w:tc>
        <w:tc>
          <w:tcPr>
            <w:tcW w:type="dxa" w:w="2880"/>
          </w:tcPr>
          <w:p>
            <w:r/>
            <w:r>
              <w:t>1.000 / 1.000 / 1.000 / 0.000</w:t>
            </w:r>
          </w:p>
        </w:tc>
        <w:tc>
          <w:tcPr>
            <w:tcW w:type="dxa" w:w="2880"/>
          </w:tcPr>
          <w:p>
            <w:r/>
            <w:r>
              <w:t>1.000 / 0.992 / 0.996 / 0.000</w:t>
            </w:r>
          </w:p>
        </w:tc>
      </w:tr>
      <w:tr>
        <w:tc>
          <w:tcPr>
            <w:tcW w:type="dxa" w:w="2880"/>
          </w:tcPr>
          <w:p>
            <w:r/>
            <w:r>
              <w:t>Фрагменты: полнота накрытия разметки</w:t>
            </w:r>
          </w:p>
        </w:tc>
        <w:tc>
          <w:tcPr>
            <w:tcW w:type="dxa" w:w="2880"/>
          </w:tcPr>
          <w:p>
            <w:r/>
            <w:r>
              <w:t>1.000</w:t>
            </w:r>
          </w:p>
        </w:tc>
        <w:tc>
          <w:tcPr>
            <w:tcW w:type="dxa" w:w="2880"/>
          </w:tcPr>
          <w:p>
            <w:r/>
            <w:r>
              <w:t>1.000</w:t>
            </w:r>
          </w:p>
        </w:tc>
      </w:tr>
      <w:tr>
        <w:tc>
          <w:tcPr>
            <w:tcW w:type="dxa" w:w="2880"/>
          </w:tcPr>
          <w:p>
            <w:r/>
            <w:r>
              <w:t>Фрагменты: F1 при расширении разметки тем же правилом</w:t>
            </w:r>
          </w:p>
        </w:tc>
        <w:tc>
          <w:tcPr>
            <w:tcW w:type="dxa" w:w="2880"/>
          </w:tcPr>
          <w:p>
            <w:r/>
            <w:r>
              <w:t>1.000</w:t>
            </w:r>
          </w:p>
        </w:tc>
        <w:tc>
          <w:tcPr>
            <w:tcW w:type="dxa" w:w="2880"/>
          </w:tcPr>
          <w:p>
            <w:r/>
            <w:r>
              <w:t>1.000</w:t>
            </w:r>
          </w:p>
        </w:tc>
      </w:tr>
      <w:tr>
        <w:tc>
          <w:tcPr>
            <w:tcW w:type="dxa" w:w="2880"/>
          </w:tcPr>
          <w:p>
            <w:r/>
            <w:r>
              <w:t>Фрагменты: строгий F1 по узкой разметке (IoU ≥ 0.5)</w:t>
            </w:r>
          </w:p>
        </w:tc>
        <w:tc>
          <w:tcPr>
            <w:tcW w:type="dxa" w:w="2880"/>
          </w:tcPr>
          <w:p>
            <w:r/>
            <w:r>
              <w:t>0.283</w:t>
            </w:r>
          </w:p>
        </w:tc>
        <w:tc>
          <w:tcPr>
            <w:tcW w:type="dxa" w:w="2880"/>
          </w:tcPr>
          <w:p>
            <w:r/>
            <w:r>
              <w:t>0.315</w:t>
            </w:r>
          </w:p>
        </w:tc>
      </w:tr>
    </w:tbl>
    <w:p/>
    <w:p>
      <w:r>
        <w:t>Кросс-корпусный тест (обучение на демонстрационном корпусе, оценка на корпусе</w:t>
      </w:r>
    </w:p>
    <w:p>
      <w:r>
        <w:t>другого генератора): token F1 0.675 при FPR 0.148 — на чужом генераторе критерий</w:t>
      </w:r>
    </w:p>
    <w:p>
      <w:r>
        <w:t xml:space="preserve">F1 ≥ 0.90 при FPR ≤ 0.10 не выполняется. Числа: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reports/cross_corpus.json</w:t>
      </w:r>
      <w:r>
        <w:t>.</w:t>
      </w:r>
    </w:p>
    <w:p>
      <w:r>
        <w:t>Критерий приёмки (token F1 ≥ 0.90 при FPR ≤ 0.10) выполнен. Низкий строгий F1 по</w:t>
      </w:r>
    </w:p>
    <w:p>
      <w:r>
        <w:t>фрагментам объясняется расширением до границ предложения: ширина найденного</w:t>
      </w:r>
    </w:p>
    <w:p>
      <w:r>
        <w:t>фрагмента в среднем в 24 раза больше размеченного числа. Поэтому рядом приводятся</w:t>
      </w:r>
    </w:p>
    <w:p>
      <w:r>
        <w:t>полнота накрытия и F1 при расширенной разметке — метрики, отражающие</w:t>
      </w:r>
    </w:p>
    <w:p>
      <w:r>
        <w:t>пользовательскую задачу «показать фрагмент для перечитки».</w:t>
      </w:r>
    </w:p>
    <w:p>
      <w:r>
        <w:t xml:space="preserve">Обученные параметры: веса признаков </w:t>
      </w:r>
      <w:r>
        <w:rPr>
          <w:rFonts w:ascii="Consolas" w:hAnsi="Consolas"/>
          <w:color w:val="224488"/>
          <w:sz w:val="19"/>
        </w:rPr>
        <w:t>attention_entropy = 0.1</w:t>
      </w:r>
      <w:r>
        <w:t>,</w:t>
      </w:r>
    </w:p>
    <w:p>
      <w:r>
        <w:rPr>
          <w:rFonts w:ascii="Consolas" w:hAnsi="Consolas"/>
          <w:color w:val="224488"/>
          <w:sz w:val="19"/>
        </w:rPr>
        <w:t>ctx_attention_mass = 0.9</w:t>
      </w:r>
      <w:r>
        <w:t xml:space="preserve">, </w:t>
      </w:r>
      <w:r>
        <w:rPr>
          <w:rFonts w:ascii="Consolas" w:hAnsi="Consolas"/>
          <w:color w:val="224488"/>
          <w:sz w:val="19"/>
        </w:rPr>
        <w:t>embedding_density = 0.0</w:t>
      </w:r>
      <w:r>
        <w:t>; порог маски</w:t>
      </w:r>
    </w:p>
    <w:p>
      <w:r>
        <w:t>$z = 0$, нижняя граница 0.3, верхняя 0.5; применённая модель — логистическая</w:t>
      </w:r>
    </w:p>
    <w:p>
      <w:r>
        <w:t>регрессия (выиграла у порогового правила на обучении).</w:t>
      </w:r>
    </w:p>
    <w:p>
      <w:pPr>
        <w:pStyle w:val="Heading3"/>
      </w:pPr>
      <w:r>
        <w:t>7.2. Пилот на малой модели (</w:t>
      </w:r>
      <w:r>
        <w:rPr>
          <w:rFonts w:ascii="Consolas" w:hAnsi="Consolas"/>
          <w:color w:val="224488"/>
          <w:sz w:val="19"/>
        </w:rPr>
        <w:t>ruGPT3-small</w:t>
      </w:r>
      <w:r>
        <w:t>) на синтетических промтах</w:t>
      </w:r>
    </w:p>
    <w:p>
      <w:r>
        <w:t xml:space="preserve">**Условия (артефакт </w:t>
      </w:r>
      <w:r>
        <w:rPr>
          <w:rFonts w:ascii="Consolas" w:hAnsi="Consolas"/>
          <w:color w:val="224488"/>
          <w:sz w:val="19"/>
        </w:rPr>
        <w:t>pilot-report</w:t>
      </w:r>
      <w:r>
        <w:t xml:space="preserve">; числа из аннотаций CI прогона </w:t>
      </w:r>
      <w:r>
        <w:rPr>
          <w:rFonts w:ascii="Consolas" w:hAnsi="Consolas"/>
          <w:color w:val="224488"/>
          <w:sz w:val="19"/>
        </w:rPr>
        <w:t>37118455503</w:t>
      </w:r>
      <w:r>
        <w:t>,</w:t>
      </w:r>
    </w:p>
    <w:p>
      <w:r>
        <w:t>job «Пилот», — артефакты в закрытом окружении не скачиваются):** модель</w:t>
      </w:r>
    </w:p>
    <w:p>
      <w:r>
        <w:rPr>
          <w:rFonts w:ascii="Consolas" w:hAnsi="Consolas"/>
          <w:color w:val="224488"/>
          <w:sz w:val="19"/>
        </w:rPr>
        <w:t>ai-forever/rugpt3small_based_on_gpt2</w:t>
      </w:r>
      <w:r>
        <w:t>, 24 контрастные пары (48 ответов), 1384</w:t>
      </w:r>
    </w:p>
    <w:p>
      <w:r>
        <w:t>токена, бутстрэп 5000 итераций, вычисления на CPU, длительность 328 с.</w:t>
      </w:r>
    </w:p>
    <w:p>
      <w:r>
        <w:t>Прогон выполнен после исправления сопоставления подслов (</w:t>
      </w:r>
      <w:r>
        <w:rPr>
          <w:rFonts w:ascii="Consolas" w:hAnsi="Consolas"/>
          <w:color w:val="224488"/>
          <w:sz w:val="19"/>
        </w:rPr>
        <w:t>map_token_positions</w:t>
      </w:r>
      <w:r>
        <w:t>).</w:t>
      </w:r>
    </w:p>
    <w:p>
      <w:r>
        <w:rPr>
          <w:b/>
        </w:rPr>
        <w:t>Контроль контраста:</w:t>
      </w:r>
      <w:r>
        <w:t xml:space="preserve"> доля ответов, воспроизводящих число из документа — 1.000</w:t>
      </w:r>
    </w:p>
    <w:p>
      <w:r>
        <w:t>в группе «с опорой» и 0.000 в группе «без опоры» (</w:t>
      </w:r>
      <w:r>
        <w:rPr>
          <w:rFonts w:ascii="Consolas" w:hAnsi="Consolas"/>
          <w:color w:val="224488"/>
          <w:sz w:val="19"/>
        </w:rPr>
        <w:t>contrast_ok = true</w:t>
      </w:r>
      <w:r>
        <w:t>).</w:t>
      </w:r>
    </w:p>
    <w:p>
      <w:r>
        <w:t>Лексическое совпадение с документом: 0.847 и 0.692 — то есть отличие</w:t>
      </w:r>
    </w:p>
    <w:p>
      <w:r>
        <w:t>действительно в одном числе, а не в «другом стиле».</w:t>
      </w:r>
    </w:p>
    <w:p>
      <w:r>
        <w:rPr>
          <w:b/>
        </w:rPr>
        <w:t>Результат: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Слой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Признак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AUC (все токены)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AUC (токен значения) [95 % ДИ]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Δ «без опоры − с опорой» [95 % ДИ]</w:t>
            </w:r>
          </w:p>
        </w:tc>
      </w:tr>
      <w:tr>
        <w:tc>
          <w:tcPr>
            <w:tcW w:type="dxa" w:w="1728"/>
          </w:tcPr>
          <w:p>
            <w:r/>
            <w:r>
              <w:t>first</w:t>
            </w:r>
          </w:p>
        </w:tc>
        <w:tc>
          <w:tcPr>
            <w:tcW w:type="dxa" w:w="1728"/>
          </w:tcPr>
          <w:p>
            <w:r/>
            <w:r>
              <w:t>attention_entropy</w:t>
            </w:r>
          </w:p>
        </w:tc>
        <w:tc>
          <w:tcPr>
            <w:tcW w:type="dxa" w:w="1728"/>
          </w:tcPr>
          <w:p>
            <w:r/>
            <w:r>
              <w:t>0.499</w:t>
            </w:r>
          </w:p>
        </w:tc>
        <w:tc>
          <w:tcPr>
            <w:tcW w:type="dxa" w:w="1728"/>
          </w:tcPr>
          <w:p>
            <w:r/>
            <w:r>
              <w:t>0.495 [0.326; 0.663]</w:t>
            </w:r>
          </w:p>
        </w:tc>
        <w:tc>
          <w:tcPr>
            <w:tcW w:type="dxa" w:w="1728"/>
          </w:tcPr>
          <w:p>
            <w:r/>
            <w:r>
              <w:t>−0.0007 [−0.0051; +0.0035]</w:t>
            </w:r>
          </w:p>
        </w:tc>
      </w:tr>
      <w:tr>
        <w:tc>
          <w:tcPr>
            <w:tcW w:type="dxa" w:w="1728"/>
          </w:tcPr>
          <w:p>
            <w:r/>
            <w:r>
              <w:t>first</w:t>
            </w:r>
          </w:p>
        </w:tc>
        <w:tc>
          <w:tcPr>
            <w:tcW w:type="dxa" w:w="1728"/>
          </w:tcPr>
          <w:p>
            <w:r/>
            <w:r>
              <w:t>ctx_attention_mass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0.549 [0.375; 0.713]</w:t>
            </w:r>
          </w:p>
        </w:tc>
        <w:tc>
          <w:tcPr>
            <w:tcW w:type="dxa" w:w="1728"/>
          </w:tcPr>
          <w:p>
            <w:r/>
            <w:r>
              <w:t>+0.0032 [−0.0010; +0.0073]</w:t>
            </w:r>
          </w:p>
        </w:tc>
      </w:tr>
      <w:tr>
        <w:tc>
          <w:tcPr>
            <w:tcW w:type="dxa" w:w="1728"/>
          </w:tcPr>
          <w:p>
            <w:r/>
            <w:r>
              <w:t>first</w:t>
            </w:r>
          </w:p>
        </w:tc>
        <w:tc>
          <w:tcPr>
            <w:tcW w:type="dxa" w:w="1728"/>
          </w:tcPr>
          <w:p>
            <w:r/>
            <w:r>
              <w:t>embedding_density</w:t>
            </w:r>
          </w:p>
        </w:tc>
        <w:tc>
          <w:tcPr>
            <w:tcW w:type="dxa" w:w="1728"/>
          </w:tcPr>
          <w:p>
            <w:r/>
            <w:r>
              <w:t>0.502</w:t>
            </w:r>
          </w:p>
        </w:tc>
        <w:tc>
          <w:tcPr>
            <w:tcW w:type="dxa" w:w="1728"/>
          </w:tcPr>
          <w:p>
            <w:r/>
            <w:r>
              <w:t>0.512 [0.346; 0.685]</w:t>
            </w:r>
          </w:p>
        </w:tc>
        <w:tc>
          <w:tcPr>
            <w:tcW w:type="dxa" w:w="1728"/>
          </w:tcPr>
          <w:p>
            <w:r/>
            <w:r>
              <w:t>+0.0015 [−0.0015; +0.0049]</w:t>
            </w:r>
          </w:p>
        </w:tc>
      </w:tr>
      <w:tr>
        <w:tc>
          <w:tcPr>
            <w:tcW w:type="dxa" w:w="1728"/>
          </w:tcPr>
          <w:p>
            <w:r/>
            <w:r>
              <w:t>middle</w:t>
            </w:r>
          </w:p>
        </w:tc>
        <w:tc>
          <w:tcPr>
            <w:tcW w:type="dxa" w:w="1728"/>
          </w:tcPr>
          <w:p>
            <w:r/>
            <w:r>
              <w:t>attention_entropy</w:t>
            </w:r>
          </w:p>
        </w:tc>
        <w:tc>
          <w:tcPr>
            <w:tcW w:type="dxa" w:w="1728"/>
          </w:tcPr>
          <w:p>
            <w:r/>
            <w:r>
              <w:t>0.489</w:t>
            </w:r>
          </w:p>
        </w:tc>
        <w:tc>
          <w:tcPr>
            <w:tcW w:type="dxa" w:w="1728"/>
          </w:tcPr>
          <w:p>
            <w:r/>
            <w:r>
              <w:t>0.405 [0.244; 0.581]</w:t>
            </w:r>
          </w:p>
        </w:tc>
        <w:tc>
          <w:tcPr>
            <w:tcW w:type="dxa" w:w="1728"/>
          </w:tcPr>
          <w:p>
            <w:r/>
            <w:r>
              <w:t>−0.0025 [−0.0059; +0.0012]</w:t>
            </w:r>
          </w:p>
        </w:tc>
      </w:tr>
      <w:tr>
        <w:tc>
          <w:tcPr>
            <w:tcW w:type="dxa" w:w="1728"/>
          </w:tcPr>
          <w:p>
            <w:r/>
            <w:r>
              <w:t>middle</w:t>
            </w:r>
          </w:p>
        </w:tc>
        <w:tc>
          <w:tcPr>
            <w:tcW w:type="dxa" w:w="1728"/>
          </w:tcPr>
          <w:p>
            <w:r/>
            <w:r>
              <w:t>ctx_attention_mass</w:t>
            </w:r>
          </w:p>
        </w:tc>
        <w:tc>
          <w:tcPr>
            <w:tcW w:type="dxa" w:w="1728"/>
          </w:tcPr>
          <w:p>
            <w:r/>
            <w:r>
              <w:t>0.486</w:t>
            </w:r>
          </w:p>
        </w:tc>
        <w:tc>
          <w:tcPr>
            <w:tcW w:type="dxa" w:w="1728"/>
          </w:tcPr>
          <w:p>
            <w:r/>
            <w:r>
              <w:t>0.700 [0.537; 0.845]</w:t>
            </w:r>
          </w:p>
        </w:tc>
        <w:tc>
          <w:tcPr>
            <w:tcW w:type="dxa" w:w="1728"/>
          </w:tcPr>
          <w:p>
            <w:r/>
            <w:r>
              <w:t>+0.0199 [+0.0141; +0.0255]</w:t>
            </w:r>
          </w:p>
        </w:tc>
      </w:tr>
      <w:tr>
        <w:tc>
          <w:tcPr>
            <w:tcW w:type="dxa" w:w="1728"/>
          </w:tcPr>
          <w:p>
            <w:r/>
            <w:r>
              <w:t>middle</w:t>
            </w:r>
          </w:p>
        </w:tc>
        <w:tc>
          <w:tcPr>
            <w:tcW w:type="dxa" w:w="1728"/>
          </w:tcPr>
          <w:p>
            <w:r/>
            <w:r>
              <w:t>embedding_density</w:t>
            </w:r>
          </w:p>
        </w:tc>
        <w:tc>
          <w:tcPr>
            <w:tcW w:type="dxa" w:w="1728"/>
          </w:tcPr>
          <w:p>
            <w:r/>
            <w:r>
              <w:t>0.502</w:t>
            </w:r>
          </w:p>
        </w:tc>
        <w:tc>
          <w:tcPr>
            <w:tcW w:type="dxa" w:w="1728"/>
          </w:tcPr>
          <w:p>
            <w:r/>
            <w:r>
              <w:t>0.455 [0.282; 0.621]</w:t>
            </w:r>
          </w:p>
        </w:tc>
        <w:tc>
          <w:tcPr>
            <w:tcW w:type="dxa" w:w="1728"/>
          </w:tcPr>
          <w:p>
            <w:r/>
            <w:r>
              <w:t>−0.0008 [−0.0027; +0.0012]</w:t>
            </w:r>
          </w:p>
        </w:tc>
      </w:tr>
      <w:tr>
        <w:tc>
          <w:tcPr>
            <w:tcW w:type="dxa" w:w="1728"/>
          </w:tcPr>
          <w:p>
            <w:r/>
            <w:r>
              <w:t>−4</w:t>
            </w:r>
          </w:p>
        </w:tc>
        <w:tc>
          <w:tcPr>
            <w:tcW w:type="dxa" w:w="1728"/>
          </w:tcPr>
          <w:p>
            <w:r/>
            <w:r>
              <w:t>attention_entropy</w:t>
            </w:r>
          </w:p>
        </w:tc>
        <w:tc>
          <w:tcPr>
            <w:tcW w:type="dxa" w:w="1728"/>
          </w:tcPr>
          <w:p>
            <w:r/>
            <w:r>
              <w:t>0.513</w:t>
            </w:r>
          </w:p>
        </w:tc>
        <w:tc>
          <w:tcPr>
            <w:tcW w:type="dxa" w:w="1728"/>
          </w:tcPr>
          <w:p>
            <w:r/>
            <w:r>
              <w:t>0.667 [0.503; 0.816]</w:t>
            </w:r>
          </w:p>
        </w:tc>
        <w:tc>
          <w:tcPr>
            <w:tcW w:type="dxa" w:w="1728"/>
          </w:tcPr>
          <w:p>
            <w:r/>
            <w:r>
              <w:t>+0.0171 [+0.0138; +0.0202]</w:t>
            </w:r>
          </w:p>
        </w:tc>
      </w:tr>
      <w:tr>
        <w:tc>
          <w:tcPr>
            <w:tcW w:type="dxa" w:w="1728"/>
          </w:tcPr>
          <w:p>
            <w:r/>
            <w:r>
              <w:t>−4</w:t>
            </w:r>
          </w:p>
        </w:tc>
        <w:tc>
          <w:tcPr>
            <w:tcW w:type="dxa" w:w="1728"/>
          </w:tcPr>
          <w:p>
            <w:r/>
            <w:r>
              <w:t>ctx_attention_mass</w:t>
            </w:r>
          </w:p>
        </w:tc>
        <w:tc>
          <w:tcPr>
            <w:tcW w:type="dxa" w:w="1728"/>
          </w:tcPr>
          <w:p>
            <w:r/>
            <w:r>
              <w:t>0.500</w:t>
            </w:r>
          </w:p>
        </w:tc>
        <w:tc>
          <w:tcPr>
            <w:tcW w:type="dxa" w:w="1728"/>
          </w:tcPr>
          <w:p>
            <w:r/>
            <w:r>
              <w:t>0.502 [0.338; 0.663]</w:t>
            </w:r>
          </w:p>
        </w:tc>
        <w:tc>
          <w:tcPr>
            <w:tcW w:type="dxa" w:w="1728"/>
          </w:tcPr>
          <w:p>
            <w:r/>
            <w:r>
              <w:t>+0.0005 [−0.0057; +0.0062]</w:t>
            </w:r>
          </w:p>
        </w:tc>
      </w:tr>
      <w:tr>
        <w:tc>
          <w:tcPr>
            <w:tcW w:type="dxa" w:w="1728"/>
          </w:tcPr>
          <w:p>
            <w:r/>
            <w:r>
              <w:t>−4</w:t>
            </w:r>
          </w:p>
        </w:tc>
        <w:tc>
          <w:tcPr>
            <w:tcW w:type="dxa" w:w="1728"/>
          </w:tcPr>
          <w:p>
            <w:r/>
            <w:r>
              <w:t>embedding_density</w:t>
            </w:r>
          </w:p>
        </w:tc>
        <w:tc>
          <w:tcPr>
            <w:tcW w:type="dxa" w:w="1728"/>
          </w:tcPr>
          <w:p>
            <w:r/>
            <w:r>
              <w:t>0.474</w:t>
            </w:r>
          </w:p>
        </w:tc>
        <w:tc>
          <w:tcPr>
            <w:tcW w:type="dxa" w:w="1728"/>
          </w:tcPr>
          <w:p>
            <w:r/>
            <w:r>
              <w:t>0.226 [0.107; 0.371]</w:t>
            </w:r>
          </w:p>
        </w:tc>
        <w:tc>
          <w:tcPr>
            <w:tcW w:type="dxa" w:w="1728"/>
          </w:tcPr>
          <w:p>
            <w:r/>
            <w:r>
              <w:t>−0.0069 [−0.0084; −0.0053]</w:t>
            </w:r>
          </w:p>
        </w:tc>
      </w:tr>
      <w:tr>
        <w:tc>
          <w:tcPr>
            <w:tcW w:type="dxa" w:w="1728"/>
          </w:tcPr>
          <w:p>
            <w:r/>
            <w:r>
              <w:t>last</w:t>
            </w:r>
          </w:p>
        </w:tc>
        <w:tc>
          <w:tcPr>
            <w:tcW w:type="dxa" w:w="1728"/>
          </w:tcPr>
          <w:p>
            <w:r/>
            <w:r>
              <w:t>attention_entropy</w:t>
            </w:r>
          </w:p>
        </w:tc>
        <w:tc>
          <w:tcPr>
            <w:tcW w:type="dxa" w:w="1728"/>
          </w:tcPr>
          <w:p>
            <w:r/>
            <w:r>
              <w:t>0.493</w:t>
            </w:r>
          </w:p>
        </w:tc>
        <w:tc>
          <w:tcPr>
            <w:tcW w:type="dxa" w:w="1728"/>
          </w:tcPr>
          <w:p>
            <w:r/>
            <w:r>
              <w:t>0.464 [0.299; 0.635]</w:t>
            </w:r>
          </w:p>
        </w:tc>
        <w:tc>
          <w:tcPr>
            <w:tcW w:type="dxa" w:w="1728"/>
          </w:tcPr>
          <w:p>
            <w:r/>
            <w:r>
              <w:t>−0.0019 [−0.0050; +0.0012]</w:t>
            </w:r>
          </w:p>
        </w:tc>
      </w:tr>
      <w:tr>
        <w:tc>
          <w:tcPr>
            <w:tcW w:type="dxa" w:w="1728"/>
          </w:tcPr>
          <w:p>
            <w:r/>
            <w:r>
              <w:t>last</w:t>
            </w:r>
          </w:p>
        </w:tc>
        <w:tc>
          <w:tcPr>
            <w:tcW w:type="dxa" w:w="1728"/>
          </w:tcPr>
          <w:p>
            <w:r/>
            <w:r>
              <w:t>ctx_attention_mass</w:t>
            </w:r>
          </w:p>
        </w:tc>
        <w:tc>
          <w:tcPr>
            <w:tcW w:type="dxa" w:w="1728"/>
          </w:tcPr>
          <w:p>
            <w:r/>
            <w:r>
              <w:t>0.497</w:t>
            </w:r>
          </w:p>
        </w:tc>
        <w:tc>
          <w:tcPr>
            <w:tcW w:type="dxa" w:w="1728"/>
          </w:tcPr>
          <w:p>
            <w:r/>
            <w:r>
              <w:t>0.552 [0.381; 0.715]</w:t>
            </w:r>
          </w:p>
        </w:tc>
        <w:tc>
          <w:tcPr>
            <w:tcW w:type="dxa" w:w="1728"/>
          </w:tcPr>
          <w:p>
            <w:r/>
            <w:r>
              <w:t>+0.0057 [+0.0021; +0.0096]</w:t>
            </w:r>
          </w:p>
        </w:tc>
      </w:tr>
      <w:tr>
        <w:tc>
          <w:tcPr>
            <w:tcW w:type="dxa" w:w="1728"/>
          </w:tcPr>
          <w:p>
            <w:r/>
            <w:r>
              <w:t>last</w:t>
            </w:r>
          </w:p>
        </w:tc>
        <w:tc>
          <w:tcPr>
            <w:tcW w:type="dxa" w:w="1728"/>
          </w:tcPr>
          <w:p>
            <w:r/>
            <w:r>
              <w:t>embedding_density</w:t>
            </w:r>
          </w:p>
        </w:tc>
        <w:tc>
          <w:tcPr>
            <w:tcW w:type="dxa" w:w="1728"/>
          </w:tcPr>
          <w:p>
            <w:r/>
            <w:r>
              <w:t>0.477</w:t>
            </w:r>
          </w:p>
        </w:tc>
        <w:tc>
          <w:tcPr>
            <w:tcW w:type="dxa" w:w="1728"/>
          </w:tcPr>
          <w:p>
            <w:r/>
            <w:r>
              <w:t>0.224 [0.096; 0.377]</w:t>
            </w:r>
          </w:p>
        </w:tc>
        <w:tc>
          <w:tcPr>
            <w:tcW w:type="dxa" w:w="1728"/>
          </w:tcPr>
          <w:p>
            <w:r/>
            <w:r>
              <w:t>−0.0111 [−0.0133; −0.0088]</w:t>
            </w:r>
          </w:p>
        </w:tc>
      </w:tr>
    </w:tbl>
    <w:p/>
    <w:p>
      <w:r>
        <w:rPr>
          <w:b/>
        </w:rPr>
        <w:t>Вывод пилота (честный):</w:t>
      </w:r>
      <w:r>
        <w:t xml:space="preserve"> единой картины нет. На одних слоях признак</w:t>
      </w:r>
    </w:p>
    <w:p>
      <w:r>
        <w:t>«плотность эмбеддинга» уходит ниже случайного уровня (AUC 0.22–0.23 по аннотациям CI, то есть</w:t>
      </w:r>
    </w:p>
    <w:p>
      <w:r>
        <w:t>знак эффекта обратный), на других «масса внимания» поднимается до 0.70; типичные</w:t>
      </w:r>
    </w:p>
    <w:p>
      <w:r>
        <w:t>оценки колеблются около 0.50, доверительные интервалы большинства из них</w:t>
      </w:r>
    </w:p>
    <w:p>
      <w:r>
        <w:t>накрывают 0.5, а статистически заметные парные разницы очень малы</w:t>
      </w:r>
    </w:p>
    <w:p>
      <w:r>
        <w:t>(0.01–0.02 при размахе признака порядка 1.0). Гипотеза о превосходстве доли</w:t>
      </w:r>
    </w:p>
    <w:p>
      <w:r>
        <w:t xml:space="preserve">внимания на документ над «сырой» энтропией внимания </w:t>
      </w:r>
      <w:r>
        <w:rPr>
          <w:b/>
        </w:rPr>
        <w:t>не подтвердилась</w:t>
      </w:r>
      <w:r>
        <w:t>. Это означает, что:</w:t>
      </w:r>
    </w:p>
    <w:p>
      <w:pPr>
        <w:pStyle w:val="ListBullet"/>
      </w:pPr>
      <w:r>
        <w:t>подмена одного числа не отражается во внутренних сигналах модели</w:t>
      </w:r>
    </w:p>
    <w:p>
      <w:r>
        <w:t xml:space="preserve">  рассматриваемого размера в данной постановке;</w:t>
      </w:r>
    </w:p>
    <w:p>
      <w:pPr>
        <w:pStyle w:val="ListBullet"/>
      </w:pPr>
      <w:r>
        <w:t>признаки внимания требуют более выраженных искажений (выдуманные утверждения,</w:t>
      </w:r>
    </w:p>
    <w:p>
      <w:r>
        <w:t xml:space="preserve">  длинные расхождения) либо другой модели и большего объёма данных;</w:t>
      </w:r>
    </w:p>
    <w:p>
      <w:pPr>
        <w:pStyle w:val="ListBullet"/>
      </w:pPr>
      <w:r>
        <w:t>демонстрационный режим средства работает за счёт лексических признаков, и его</w:t>
      </w:r>
    </w:p>
    <w:p>
      <w:r>
        <w:t xml:space="preserve">  метрики (раздел 7.1) </w:t>
      </w:r>
      <w:r>
        <w:rPr>
          <w:b/>
        </w:rPr>
        <w:t>не являются</w:t>
      </w:r>
      <w:r>
        <w:t xml:space="preserve"> научным подтверждением метода на реальных</w:t>
      </w:r>
    </w:p>
    <w:p>
      <w:r>
        <w:t xml:space="preserve">  текстах.</w:t>
      </w:r>
    </w:p>
    <w:p>
      <w:r>
        <w:t>Отрицательный результат зафиксирован без подгонки: пороги не подбирались по</w:t>
      </w:r>
    </w:p>
    <w:p>
      <w:r>
        <w:t>тестовой части, пары не отбирались по результату.</w:t>
      </w:r>
    </w:p>
    <w:p>
      <w:pPr>
        <w:pStyle w:val="Heading3"/>
      </w:pPr>
      <w:r>
        <w:t xml:space="preserve">7.3. Измерения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на реальных актах (корпус A3)</w:t>
      </w:r>
    </w:p>
    <w:p>
      <w:r>
        <w:t>Все числа этого раздела — из файла прогона</w:t>
      </w:r>
    </w:p>
    <w:p>
      <w:r>
        <w:rPr>
          <w:rFonts w:ascii="Consolas" w:hAnsi="Consolas"/>
          <w:color w:val="224488"/>
          <w:sz w:val="19"/>
        </w:rPr>
        <w:t>reports/experiments/a3/experiment.json</w:t>
      </w:r>
      <w:r>
        <w:t>, записанного раннером в прогоне</w:t>
      </w:r>
    </w:p>
    <w:p>
      <w:r>
        <w:rPr>
          <w:rFonts w:ascii="Consolas" w:hAnsi="Consolas"/>
          <w:color w:val="224488"/>
          <w:sz w:val="19"/>
        </w:rPr>
        <w:t>37609202780</w:t>
      </w:r>
      <w:r>
        <w:t xml:space="preserve"> (модель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>, CPU, seed 42);</w:t>
      </w:r>
    </w:p>
    <w:p>
      <w:r>
        <w:t xml:space="preserve">повторный прогон </w:t>
      </w:r>
      <w:r>
        <w:rPr>
          <w:rFonts w:ascii="Consolas" w:hAnsi="Consolas"/>
          <w:color w:val="224488"/>
          <w:sz w:val="19"/>
        </w:rPr>
        <w:t>37609202780</w:t>
      </w:r>
      <w:r>
        <w:t xml:space="preserve"> после первичного </w:t>
      </w:r>
      <w:r>
        <w:rPr>
          <w:rFonts w:ascii="Consolas" w:hAnsi="Consolas"/>
          <w:color w:val="224488"/>
          <w:sz w:val="19"/>
        </w:rPr>
        <w:t>37593829810</w:t>
      </w:r>
      <w:r>
        <w:t xml:space="preserve"> воспроизвёл цифры</w:t>
      </w:r>
    </w:p>
    <w:p>
      <w:r>
        <w:t xml:space="preserve">дословно. Сводка продублирована в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 → </w:t>
      </w:r>
      <w:r>
        <w:rPr>
          <w:rFonts w:ascii="Consolas" w:hAnsi="Consolas"/>
          <w:color w:val="224488"/>
          <w:sz w:val="19"/>
        </w:rPr>
        <w:t>hf_experiments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Измерение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Официальный тест корпуса A3, пар</w:t>
            </w:r>
          </w:p>
        </w:tc>
        <w:tc>
          <w:tcPr>
            <w:tcW w:type="dxa" w:w="4320"/>
          </w:tcPr>
          <w:p>
            <w:r/>
            <w:r>
              <w:t>177</w:t>
            </w:r>
          </w:p>
        </w:tc>
      </w:tr>
      <w:tr>
        <w:tc>
          <w:tcPr>
            <w:tcW w:type="dxa" w:w="4320"/>
          </w:tcPr>
          <w:p>
            <w:r/>
            <w:r>
              <w:t>Токенные precision / recall / F1</w:t>
            </w:r>
          </w:p>
        </w:tc>
        <w:tc>
          <w:tcPr>
            <w:tcW w:type="dxa" w:w="4320"/>
          </w:tcPr>
          <w:p>
            <w:r/>
            <w:r>
              <w:t>0.143 / 0.349 / 0.203</w:t>
            </w:r>
          </w:p>
        </w:tc>
      </w:tr>
      <w:tr>
        <w:tc>
          <w:tcPr>
            <w:tcW w:type="dxa" w:w="4320"/>
          </w:tcPr>
          <w:p>
            <w:r/>
            <w:r>
              <w:t>Токенный FPR</w:t>
            </w:r>
          </w:p>
        </w:tc>
        <w:tc>
          <w:tcPr>
            <w:tcW w:type="dxa" w:w="4320"/>
          </w:tcPr>
          <w:p>
            <w:r/>
            <w:r>
              <w:t>0.065</w:t>
            </w:r>
          </w:p>
        </w:tc>
      </w:tr>
      <w:tr>
        <w:tc>
          <w:tcPr>
            <w:tcW w:type="dxa" w:w="4320"/>
          </w:tcPr>
          <w:p>
            <w:r/>
            <w:r>
              <w:t>AUC</w:t>
            </w:r>
          </w:p>
        </w:tc>
        <w:tc>
          <w:tcPr>
            <w:tcW w:type="dxa" w:w="4320"/>
          </w:tcPr>
          <w:p>
            <w:r/>
            <w:r>
              <w:t>0.851</w:t>
            </w:r>
          </w:p>
        </w:tc>
      </w:tr>
      <w:tr>
        <w:tc>
          <w:tcPr>
            <w:tcW w:type="dxa" w:w="4320"/>
          </w:tcPr>
          <w:p>
            <w:r/>
            <w:r>
              <w:t>Строгий span-F1 / средняя ширина фрагмента</w:t>
            </w:r>
          </w:p>
        </w:tc>
        <w:tc>
          <w:tcPr>
            <w:tcW w:type="dxa" w:w="4320"/>
          </w:tcPr>
          <w:p>
            <w:r/>
            <w:r>
              <w:t>0.119 / 9.1× ширины эталона</w:t>
            </w:r>
          </w:p>
        </w:tc>
      </w:tr>
      <w:tr>
        <w:tc>
          <w:tcPr>
            <w:tcW w:type="dxa" w:w="4320"/>
          </w:tcPr>
          <w:p>
            <w:r/>
            <w:r>
              <w:t>Критерий «F1 ≥ 0.90 при FPR ≤ 0.10»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не достигнут</w:t>
            </w:r>
          </w:p>
        </w:tc>
      </w:tr>
      <w:tr>
        <w:tc>
          <w:tcPr>
            <w:tcW w:type="dxa" w:w="4320"/>
          </w:tcPr>
          <w:p>
            <w:r/>
            <w:r>
              <w:t>Вердикт «есть подмена» (новое правило): F1 / FPR</w:t>
            </w:r>
          </w:p>
        </w:tc>
        <w:tc>
          <w:tcPr>
            <w:tcW w:type="dxa" w:w="4320"/>
          </w:tcPr>
          <w:p>
            <w:r/>
            <w:r>
              <w:t>0.605 / 0.775</w:t>
            </w:r>
          </w:p>
        </w:tc>
      </w:tr>
      <w:tr>
        <w:tc>
          <w:tcPr>
            <w:tcW w:type="dxa" w:w="4320"/>
          </w:tcPr>
          <w:p>
            <w:r/>
            <w:r>
              <w:t>То же по старому правилу</w:t>
            </w:r>
          </w:p>
        </w:tc>
        <w:tc>
          <w:tcPr>
            <w:tcW w:type="dxa" w:w="4320"/>
          </w:tcPr>
          <w:p>
            <w:r/>
            <w:r>
              <w:t>0.650 / 0.863</w:t>
            </w:r>
          </w:p>
        </w:tc>
      </w:tr>
      <w:tr>
        <w:tc>
          <w:tcPr>
            <w:tcW w:type="dxa" w:w="4320"/>
          </w:tcPr>
          <w:p>
            <w:r/>
            <w:r>
              <w:t>Доля чистых пар теста, помеченных вердиктом</w:t>
            </w:r>
          </w:p>
        </w:tc>
        <w:tc>
          <w:tcPr>
            <w:tcW w:type="dxa" w:w="4320"/>
          </w:tcPr>
          <w:p>
            <w:r/>
            <w:r>
              <w:t>0.80</w:t>
            </w:r>
          </w:p>
        </w:tc>
      </w:tr>
      <w:tr>
        <w:tc>
          <w:tcPr>
            <w:tcW w:type="dxa" w:w="4320"/>
          </w:tcPr>
          <w:p>
            <w:r/>
            <w:r>
              <w:t>Тест корпуса A, 180 пар: token F1 / FPR</w:t>
            </w:r>
          </w:p>
        </w:tc>
        <w:tc>
          <w:tcPr>
            <w:tcW w:type="dxa" w:w="4320"/>
          </w:tcPr>
          <w:p>
            <w:r/>
            <w:r>
              <w:t>0.608 / 0.024</w:t>
            </w:r>
          </w:p>
        </w:tc>
      </w:tr>
      <w:tr>
        <w:tc>
          <w:tcPr>
            <w:tcW w:type="dxa" w:w="4320"/>
          </w:tcPr>
          <w:p>
            <w:r/>
            <w:r>
              <w:t xml:space="preserve">Внешний срез </w:t>
            </w:r>
            <w:r>
              <w:rPr>
                <w:rFonts w:ascii="Consolas" w:hAnsi="Consolas"/>
                <w:color w:val="224488"/>
                <w:sz w:val="19"/>
              </w:rPr>
              <w:t>ext_ragtruth_qa_hf</w:t>
            </w:r>
            <w:r>
              <w:t>, 40 пар: пометок / ложных пометок</w:t>
            </w:r>
          </w:p>
        </w:tc>
        <w:tc>
          <w:tcPr>
            <w:tcW w:type="dxa" w:w="4320"/>
          </w:tcPr>
          <w:p>
            <w:r/>
            <w:r>
              <w:t>0 / 0</w:t>
            </w:r>
          </w:p>
        </w:tc>
      </w:tr>
    </w:tbl>
    <w:p/>
    <w:p>
      <w:r>
        <w:t>Бандл выбран целиком по обучающей части корпуса (веса: сигнал</w:t>
      </w:r>
    </w:p>
    <w:p>
      <w:r>
        <w:rPr>
          <w:rFonts w:ascii="Consolas" w:hAnsi="Consolas"/>
          <w:color w:val="224488"/>
          <w:sz w:val="19"/>
        </w:rPr>
        <w:t>attention_entropy</w:t>
      </w:r>
      <w:r>
        <w:t xml:space="preserve"> с коэффициентом 1.0, остальные признаки обнулены; порог</w:t>
      </w:r>
    </w:p>
    <w:p>
      <w:r>
        <w:t>ответа 0.585 подобран на обучении под ограничение FPR ≤ 0.10); по тесту ничего</w:t>
      </w:r>
    </w:p>
    <w:p>
      <w:r>
        <w:t>не подбиралось. Маскировочная кривая на обучении (343 точки) не содержит более</w:t>
      </w:r>
    </w:p>
    <w:p>
      <w:r>
        <w:t>сильной точки при том же ограничении.</w:t>
      </w:r>
    </w:p>
    <w:p>
      <w:r>
        <w:t>Честный вывод: на реальных актах метод выделяет подмены на уровне заметно выше</w:t>
      </w:r>
    </w:p>
    <w:p>
      <w:r>
        <w:t>случайного (AUC 0.851), но рабочий уровень качества не достигнут, а вердикт по</w:t>
      </w:r>
    </w:p>
    <w:p>
      <w:r>
        <w:t>паре помечает большинство чистых ответов.</w:t>
      </w:r>
    </w:p>
    <w:p>
      <w:pPr>
        <w:pStyle w:val="Heading3"/>
      </w:pPr>
      <w:r>
        <w:t>7.4. Проверки программного средства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/>
            <w:r>
              <w:t>Автоматические тесты</w:t>
            </w:r>
          </w:p>
        </w:tc>
        <w:tc>
          <w:tcPr>
            <w:tcW w:type="dxa" w:w="4320"/>
          </w:tcPr>
          <w:p>
            <w:r/>
            <w:r>
              <w:t>587 тестов, все проходят</w:t>
            </w:r>
          </w:p>
        </w:tc>
      </w:tr>
      <w:tr>
        <w:tc>
          <w:tcPr>
            <w:tcW w:type="dxa" w:w="4320"/>
          </w:tcPr>
          <w:p>
            <w:r/>
            <w:r>
              <w:t>Покрытие кода</w:t>
            </w:r>
          </w:p>
        </w:tc>
        <w:tc>
          <w:tcPr>
            <w:tcW w:type="dxa" w:w="4320"/>
          </w:tcPr>
          <w:p>
            <w:r/>
            <w:r>
              <w:t>87.8 % (порог 85 %)</w:t>
            </w:r>
          </w:p>
        </w:tc>
      </w:tr>
      <w:tr>
        <w:tc>
          <w:tcPr>
            <w:tcW w:type="dxa" w:w="4320"/>
          </w:tcPr>
          <w:p>
            <w:r/>
            <w:r>
              <w:t>Стиль</w:t>
            </w:r>
          </w:p>
        </w:tc>
        <w:tc>
          <w:tcPr>
            <w:tcW w:type="dxa" w:w="4320"/>
          </w:tcPr>
          <w:p>
            <w:r/>
            <w:r>
              <w:t>без замечаний (</w:t>
            </w:r>
            <w:r>
              <w:rPr>
                <w:rFonts w:ascii="Consolas" w:hAnsi="Consolas"/>
                <w:color w:val="224488"/>
                <w:sz w:val="19"/>
              </w:rPr>
              <w:t>ruff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black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Воспроизводимость обучения</w:t>
            </w:r>
          </w:p>
        </w:tc>
        <w:tc>
          <w:tcPr>
            <w:tcW w:type="dxa" w:w="4320"/>
          </w:tcPr>
          <w:p>
            <w:r/>
            <w:r>
              <w:t>два запуска с seed 42 дают одинаковый файл параметров (SHA-256)</w:t>
            </w:r>
          </w:p>
        </w:tc>
      </w:tr>
      <w:tr>
        <w:tc>
          <w:tcPr>
            <w:tcW w:type="dxa" w:w="4320"/>
          </w:tcPr>
          <w:p>
            <w:r/>
            <w:r>
              <w:t xml:space="preserve">Смоук-тест собранного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в CI</w:t>
            </w:r>
          </w:p>
        </w:tc>
        <w:tc>
          <w:tcPr>
            <w:tcW w:type="dxa" w:w="4320"/>
          </w:tcPr>
          <w:p>
            <w:r/>
            <w:r>
              <w:t xml:space="preserve">запуск, </w:t>
            </w:r>
            <w:r>
              <w:rPr>
                <w:rFonts w:ascii="Consolas" w:hAnsi="Consolas"/>
                <w:color w:val="224488"/>
                <w:sz w:val="19"/>
              </w:rPr>
              <w:t>/health</w:t>
            </w:r>
            <w:r>
              <w:t xml:space="preserve">, подмена найдена, достоверный ответ не обвинён, автономность без папки </w:t>
            </w:r>
            <w:r>
              <w:rPr>
                <w:rFonts w:ascii="Consolas" w:hAnsi="Consolas"/>
                <w:color w:val="224488"/>
                <w:sz w:val="19"/>
              </w:rPr>
              <w:t>config</w:t>
            </w:r>
          </w:p>
        </w:tc>
      </w:tr>
      <w:tr>
        <w:tc>
          <w:tcPr>
            <w:tcW w:type="dxa" w:w="4320"/>
          </w:tcPr>
          <w:p>
            <w:r/>
            <w:r>
              <w:t>Контроль целостности сборки</w:t>
            </w:r>
          </w:p>
        </w:tc>
        <w:tc>
          <w:tcPr>
            <w:tcW w:type="dxa" w:w="4320"/>
          </w:tcPr>
          <w:p>
            <w:r/>
            <w:r>
              <w:t xml:space="preserve">Python DLL внутри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побайтово совпадает с исходной</w:t>
            </w:r>
          </w:p>
        </w:tc>
      </w:tr>
    </w:tbl>
    <w:p/>
    <w:p>
      <w:pPr>
        <w:pStyle w:val="Heading2"/>
      </w:pPr>
      <w:r>
        <w:t>8. Обсуждение</w:t>
      </w:r>
    </w:p>
    <w:p>
      <w:r>
        <w:t>Работа показывает, что задача локализации неподтверждённых фрагментов решается</w:t>
      </w:r>
    </w:p>
    <w:p>
      <w:r>
        <w:t>на выбранном классе искажений (подмена значения, выдуманное утверждение) в</w:t>
      </w:r>
    </w:p>
    <w:p>
      <w:r>
        <w:t xml:space="preserve">демонстрационном режиме и </w:t>
      </w:r>
      <w:r>
        <w:rPr>
          <w:b/>
        </w:rPr>
        <w:t>не решается</w:t>
      </w:r>
      <w:r>
        <w:t xml:space="preserve"> признаками внимания небольшой модели в</w:t>
      </w:r>
    </w:p>
    <w:p>
      <w:r>
        <w:t>предельно трудной постановке «одно число». Это содержательный результат: он</w:t>
      </w:r>
    </w:p>
    <w:p>
      <w:r>
        <w:t>разграничивает «работоспособность конвейера» и «научную состоятельность</w:t>
      </w:r>
    </w:p>
    <w:p>
      <w:r>
        <w:t>признаков» и определяет направление дальнейших исследований — более крупные</w:t>
      </w:r>
    </w:p>
    <w:p>
      <w:r>
        <w:t>модели, более сильные искажения, обучение на реальных размеченных парах.</w:t>
      </w:r>
    </w:p>
    <w:p>
      <w:pPr>
        <w:pStyle w:val="Heading2"/>
      </w:pPr>
      <w:r>
        <w:t>9. Ограничения</w:t>
      </w:r>
    </w:p>
    <w:p>
      <w:pPr>
        <w:pStyle w:val="ListNumber"/>
      </w:pPr>
      <w:r>
        <w:t>Демонстрационный набор синтетический; метрики раздела 7.1 отражают</w:t>
      </w:r>
    </w:p>
    <w:p>
      <w:r>
        <w:t xml:space="preserve">   работоспособность и самосогласованность метода.</w:t>
      </w:r>
    </w:p>
    <w:p>
      <w:pPr>
        <w:pStyle w:val="ListNumber"/>
      </w:pPr>
      <w:r>
        <w:t>Пилот ограничен одной моделью и десятками пар; доверительные интервалы</w:t>
      </w:r>
    </w:p>
    <w:p>
      <w:r>
        <w:t xml:space="preserve">   широкие (см. артефакт).</w:t>
      </w:r>
    </w:p>
    <w:p>
      <w:pPr>
        <w:pStyle w:val="ListNumber"/>
      </w:pPr>
      <w:r>
        <w:t>Признаки зависят от выбора модели и слоя.</w:t>
      </w:r>
    </w:p>
    <w:p>
      <w:pPr>
        <w:pStyle w:val="ListNumber"/>
      </w:pPr>
      <w:r>
        <w:t>Для прикладного применения нужна калибровка на размеченных парах пользователя</w:t>
      </w:r>
    </w:p>
    <w:p>
      <w:r>
        <w:t xml:space="preserve">   (процедура описана в руководстве).</w:t>
      </w:r>
    </w:p>
    <w:p>
      <w:pPr>
        <w:pStyle w:val="ListNumber"/>
      </w:pPr>
      <w:r>
        <w:t>На реальных актах (раздел 7.3) ориентир «F1 ≥ 0.90 при FPR ≤ 0.10» не</w:t>
      </w:r>
    </w:p>
    <w:p>
      <w:r>
        <w:t xml:space="preserve">   достигнут; по чистым парам теста вердикт помечает 0.80 ответов.</w:t>
      </w:r>
    </w:p>
    <w:p>
      <w:pPr>
        <w:pStyle w:val="Heading2"/>
      </w:pPr>
      <w:r>
        <w:t>10. Заключение</w:t>
      </w:r>
    </w:p>
    <w:p>
      <w:r>
        <w:t>Разработан и исследован метод локализации неподтверждённых документом</w:t>
      </w:r>
    </w:p>
    <w:p>
      <w:r>
        <w:t>фрагментов ответа, реализовано программное средство с локальной обработкой,</w:t>
      </w:r>
    </w:p>
    <w:p>
      <w:r>
        <w:t>проведены оценка на отложенной части демонстрационного набора и пилотное</w:t>
      </w:r>
    </w:p>
    <w:p>
      <w:r>
        <w:t>исследование признаков по слоям реальной модели. Задачи этапов 1–7 календарного</w:t>
      </w:r>
    </w:p>
    <w:p>
      <w:r>
        <w:t>плана выполнены; полученный отрицательный результат пилота зафиксирован и</w:t>
      </w:r>
    </w:p>
    <w:p>
      <w:r>
        <w:t>определяет направления дальнейшей работы.</w:t>
      </w:r>
    </w:p>
    <w:p>
      <w:pPr>
        <w:pStyle w:val="Heading2"/>
      </w:pPr>
      <w:r>
        <w:t>11. Источники</w:t>
      </w:r>
    </w:p>
    <w:p>
      <w:r>
        <w:t>Оформление — по ГОСТ Р 7.0.5-2008. Нумерация сквозная; в тексте ссылки вида</w:t>
      </w:r>
    </w:p>
    <w:p>
      <w:r>
        <w:rPr>
          <w:rFonts w:ascii="Consolas" w:hAnsi="Consolas"/>
          <w:color w:val="224488"/>
          <w:sz w:val="19"/>
        </w:rPr>
        <w:t>[1]</w:t>
      </w:r>
      <w:r>
        <w:t>. Ни один источник не приводится «по памяти»: если результат взят из</w:t>
      </w:r>
    </w:p>
    <w:p>
      <w:r>
        <w:t>работы, он либо измерен в прогоне этого репозитория, либо помечен как чужой с</w:t>
      </w:r>
    </w:p>
    <w:p>
      <w:r>
        <w:t>указанием источника.</w:t>
      </w:r>
    </w:p>
    <w:p>
      <w:pPr>
        <w:pStyle w:val="ListNumber"/>
      </w:pPr>
      <w:r>
        <w:t>Договор № 20478ГУ/2026 о предоставлении гранта (проект 117812), с приложениями</w:t>
      </w:r>
    </w:p>
    <w:p>
      <w:r>
        <w:t xml:space="preserve">   № 3 (техническое задание), № 4 (календарный план), № 10 (правила оформления</w:t>
      </w:r>
    </w:p>
    <w:p>
      <w:r>
        <w:t xml:space="preserve">   отчёта).</w:t>
      </w:r>
    </w:p>
    <w:p>
      <w:pPr>
        <w:pStyle w:val="ListNumber"/>
      </w:pPr>
      <w:r>
        <w:t>ГОСТ Р 7.0.5-2008. Библиографическая ссылка. Общие требования и правила</w:t>
      </w:r>
    </w:p>
    <w:p>
      <w:r>
        <w:t xml:space="preserve">   составления.</w:t>
      </w:r>
    </w:p>
    <w:p>
      <w:pPr>
        <w:pStyle w:val="ListNumber"/>
      </w:pPr>
      <w:r>
        <w:t>ГОСТ 19.404-79, ГОСТ 19.503-79, ГОСТ 19.504-79, ГОСТ 19.505-79 — единая</w:t>
      </w:r>
    </w:p>
    <w:p>
      <w:r>
        <w:t xml:space="preserve">   система программной документации (документы в </w:t>
      </w:r>
      <w:r>
        <w:rPr>
          <w:rFonts w:ascii="Consolas" w:hAnsi="Consolas"/>
          <w:color w:val="224488"/>
          <w:sz w:val="19"/>
        </w:rPr>
        <w:t>docs/ГОСТ/</w:t>
      </w:r>
      <w:r>
        <w:t>).</w:t>
      </w:r>
    </w:p>
    <w:p>
      <w:pPr>
        <w:pStyle w:val="ListNumber"/>
      </w:pPr>
      <w:r>
        <w:t>Отчёт о НИР. ГОСТ 7.32-2017 (структура отчёта, разделы).</w:t>
      </w:r>
    </w:p>
    <w:p>
      <w:pPr>
        <w:pStyle w:val="ListNumber"/>
      </w:pPr>
      <w:r>
        <w:t xml:space="preserve">Документы проекта: </w:t>
      </w:r>
      <w:r>
        <w:rPr>
          <w:rFonts w:ascii="Consolas" w:hAnsi="Consolas"/>
          <w:color w:val="224488"/>
          <w:sz w:val="19"/>
        </w:rPr>
        <w:t>docs/ТЗ_и_календарный_план.md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docs/ПРОГРАММА_И_МЕТОДИКА_ПРИЁМКИ.md</w:t>
      </w:r>
      <w:r>
        <w:t xml:space="preserve">, </w:t>
      </w:r>
      <w:r>
        <w:rPr>
          <w:rFonts w:ascii="Consolas" w:hAnsi="Consolas"/>
          <w:color w:val="224488"/>
          <w:sz w:val="19"/>
        </w:rPr>
        <w:t>docs/РУКОВОДСТВО.md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, </w:t>
      </w:r>
      <w:r>
        <w:rPr>
          <w:rFonts w:ascii="Consolas" w:hAnsi="Consolas"/>
          <w:color w:val="224488"/>
          <w:sz w:val="19"/>
        </w:rPr>
        <w:t>ИТОГ.md</w:t>
      </w:r>
      <w:r>
        <w:t>.</w:t>
      </w:r>
    </w:p>
    <w:p>
      <w:pPr>
        <w:pStyle w:val="ListNumber"/>
      </w:pPr>
      <w:r>
        <w:t xml:space="preserve">Артефакты прогонов: </w:t>
      </w:r>
      <w:r>
        <w:rPr>
          <w:rFonts w:ascii="Consolas" w:hAnsi="Consolas"/>
          <w:color w:val="224488"/>
          <w:sz w:val="19"/>
        </w:rPr>
        <w:t>reports/METRICS.json</w:t>
      </w:r>
      <w:r>
        <w:t xml:space="preserve">, </w:t>
      </w:r>
      <w:r>
        <w:rPr>
          <w:rFonts w:ascii="Consolas" w:hAnsi="Consolas"/>
          <w:color w:val="224488"/>
          <w:sz w:val="19"/>
        </w:rPr>
        <w:t>reports/CONTRACT.json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reports/NUMBERS.json</w:t>
      </w:r>
      <w:r>
        <w:t xml:space="preserve">, </w:t>
      </w:r>
      <w:r>
        <w:rPr>
          <w:rFonts w:ascii="Consolas" w:hAnsi="Consolas"/>
          <w:color w:val="224488"/>
          <w:sz w:val="19"/>
        </w:rPr>
        <w:t>reports/experiments/*/experiment.json</w:t>
      </w:r>
      <w:r>
        <w:t>.</w:t>
      </w:r>
    </w:p>
    <w:p>
      <w:pPr>
        <w:pStyle w:val="ListNumber"/>
      </w:pPr>
      <w:r>
        <w:t>Внешние наборы данных, использованные для сравнения (оценка вёлась на</w:t>
      </w:r>
    </w:p>
    <w:p>
      <w:r>
        <w:t xml:space="preserve">   закреплённых ревизиях, тексты не распространяются): описания —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spanverify-module/reports/EXTERNAL_TESTS.md</w:t>
      </w:r>
      <w:r>
        <w:t>.</w:t>
      </w:r>
    </w:p>
    <w:p>
      <w:pPr>
        <w:pStyle w:val="ListNumber"/>
      </w:pPr>
      <w:r>
        <w:t>Чужой baseline из статьи: числа извлечены автоматически в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reports/baseline_from_article.json</w:t>
      </w:r>
      <w:r>
        <w:t>; при ненайденной таблице помечаются</w:t>
      </w:r>
    </w:p>
    <w:p>
      <w:r>
        <w:t xml:space="preserve">   «не извлечено» и не переносятся в текст.</w:t>
      </w:r>
    </w:p>
    <w:p>
      <w:pPr>
        <w:pStyle w:val="Heading2"/>
      </w:pPr>
      <w:r>
        <w:t>12. Приложения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docs/ОТЧЁТ_ПРИЛОЖЕНИЕ_СООТВЕТСТВИЕ.md</w:t>
      </w:r>
      <w:r>
        <w:t xml:space="preserve"> — таблица соответствия требованиям</w:t>
      </w:r>
    </w:p>
    <w:p>
      <w:r>
        <w:t xml:space="preserve">   договора (Приложение № 3, пп. 4.1 и 4.2; Приложение № 4; Приложение № 10).</w:t>
      </w:r>
    </w:p>
    <w:p>
      <w:r>
        <w:t xml:space="preserve">   Собирается автоматически из </w:t>
      </w:r>
      <w:r>
        <w:rPr>
          <w:rFonts w:ascii="Consolas" w:hAnsi="Consolas"/>
          <w:color w:val="224488"/>
          <w:sz w:val="19"/>
        </w:rPr>
        <w:t>reports/CONTRACT.json</w:t>
      </w:r>
      <w:r>
        <w:t xml:space="preserve"> скриптом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scripts/contract_check.py</w:t>
      </w:r>
      <w:r>
        <w:t>, числа в неё не вписываются руками.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docs/СООТВЕТСТВИЕ_ДОГОВОРУ.md</w:t>
      </w:r>
      <w:r>
        <w:t xml:space="preserve"> и </w:t>
      </w:r>
      <w:r>
        <w:rPr>
          <w:rFonts w:ascii="Consolas" w:hAnsi="Consolas"/>
          <w:color w:val="224488"/>
          <w:sz w:val="19"/>
        </w:rPr>
        <w:t>docs/ЗАКРЫТИЕ_ДОГОВОРА_ПО_КОДУ.md</w:t>
      </w:r>
      <w:r>
        <w:t xml:space="preserve"> — та же</w:t>
      </w:r>
    </w:p>
    <w:p>
      <w:r>
        <w:t xml:space="preserve">   таблица в полном виде с командами воспроизведения каждого числа и отдельным</w:t>
      </w:r>
    </w:p>
    <w:p>
      <w:r>
        <w:t xml:space="preserve">   разделом о зоне получателя гранта.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docs/ДОГОВОР_ИЗВЛЕЧЕНИЕ.md</w:t>
      </w:r>
      <w:r>
        <w:t xml:space="preserve"> — требования договора без персональных данных</w:t>
      </w:r>
    </w:p>
    <w:p>
      <w:r>
        <w:t xml:space="preserve">   (сам подписанный договор в публичном репозитории не хранится).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docs/ПРОВЕРКА_ОРИГИНАЛЬНОСТИ.md</w:t>
      </w:r>
      <w:r>
        <w:t xml:space="preserve"> — процедура внешней проверки оригинальности.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docs/РУКОВОДСТВО.md</w:t>
      </w:r>
      <w:r>
        <w:t xml:space="preserve"> — руководство пользователя.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ИТОГ.md</w:t>
      </w:r>
      <w:r>
        <w:t xml:space="preserve"> — сводка проверок, ссылка на сборку, чек-лист приёмки.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PROGRESS.md</w:t>
      </w:r>
      <w:r>
        <w:t xml:space="preserve"> — журнал решений и найденных ошибок.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spanverify-module/README.md</w:t>
      </w:r>
      <w:r>
        <w:t xml:space="preserve"> — описание метода и интерфейсов.</w:t>
      </w:r>
    </w:p>
    <w:p>
      <w:pPr>
        <w:pStyle w:val="ListNumber"/>
      </w:pPr>
      <w:r>
        <w:t>Артефакты запусков — отчёты пилота и сборки в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