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207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87 %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0.959, FPR 0.002, AUC 0.996</w:t>
            </w:r>
            <w:r>
              <w:t xml:space="preserve"> (критерий F1 ≥ 0.90 при FPR ≤ 0.10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реальной модели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</w:t>
            </w:r>
            <w:r>
              <w:t xml:space="preserve">-независимо: </w:t>
            </w:r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недоступен </w:t>
            </w:r>
            <w:r>
              <w:rPr>
                <w:rFonts w:ascii="Consolas" w:hAnsi="Consolas"/>
                <w:color w:val="224488"/>
                <w:sz w:val="19"/>
              </w:rPr>
              <w:t>huggingface.co</w:t>
            </w:r>
            <w:r>
              <w:t xml:space="preserve"> (SSL), поэтому результат берётся из артефакта сборки, а не придумывается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rPr>
          <w:b/>
        </w:rPr>
        <w:t>Отложенная часть демонстрационного корпуса (72 пары, 690 токенов):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0.988 / 0.932 / </w:t>
            </w:r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0.992, F1 0.996,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rPr>
          <w:b/>
        </w:rPr>
        <w:t>Весь корпус (240 пар):</w:t>
      </w:r>
      <w:r>
        <w:t xml:space="preserve"> token F1 0.958, FPR 0.005, AUC 0.997.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207 тестов проходят, покрытие 87 %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реальной модели</w:t>
      </w:r>
      <w:r>
        <w:t xml:space="preserve">: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pilot.json</w:t>
      </w:r>
      <w:r>
        <w:t>) с таблицей AUC по слоям и выводом о гипотезе.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