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Техническое задание и календарный план НИР</w:t>
      </w:r>
    </w:p>
    <w:p>
      <w:r>
        <w:t>Тема: **разработка и исследование метода автоматического выявления</w:t>
      </w:r>
    </w:p>
    <w:p>
      <w:r>
        <w:t>недостоверных фрагментов текста на основе сопоставления ответа с</w:t>
      </w:r>
    </w:p>
    <w:p>
      <w:r>
        <w:t>документом-источником** (рабочее название комплекса — SpanVerify).</w:t>
      </w:r>
    </w:p>
    <w:p>
      <w:r>
        <w:t>Документ подготовлен для конкурсной документации. Виды работ сформулированы как</w:t>
      </w:r>
    </w:p>
    <w:p>
      <w:r>
        <w:t>научно-исследовательские: исследование, разработка метода, эксперимент, оценка</w:t>
      </w:r>
    </w:p>
    <w:p>
      <w:r>
        <w:t>качества, апробация, подготовка отчётности.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Техническое задание</w:t>
      </w:r>
    </w:p>
    <w:p>
      <w:pPr>
        <w:pStyle w:val="Heading3"/>
      </w:pPr>
      <w:r>
        <w:t>1.1. Основание для работы</w:t>
      </w:r>
    </w:p>
    <w:p>
      <w:r>
        <w:t>Инициативная научно-исследовательская работа по направлению «искусственный</w:t>
      </w:r>
    </w:p>
    <w:p>
      <w:r>
        <w:t>интеллект и обработка естественного языка». Задача вызвана практикой</w:t>
      </w:r>
    </w:p>
    <w:p>
      <w:r>
        <w:t>применения генеративных моделей для подготовки текстов по документам: такие</w:t>
      </w:r>
    </w:p>
    <w:p>
      <w:r>
        <w:t>тексты требуют выборочной проверки на соответствие источнику.</w:t>
      </w:r>
    </w:p>
    <w:p>
      <w:pPr>
        <w:pStyle w:val="Heading3"/>
      </w:pPr>
      <w:r>
        <w:t>1.2. Цель работы</w:t>
      </w:r>
    </w:p>
    <w:p>
      <w:r>
        <w:t>Разработать метод выявления фрагментов ответа, не подтверждаемых</w:t>
      </w:r>
    </w:p>
    <w:p>
      <w:r>
        <w:t>документом-источником, и оценить его качество на размеченных парах</w:t>
      </w:r>
    </w:p>
    <w:p>
      <w:r>
        <w:t>«документ — ответ».</w:t>
      </w:r>
    </w:p>
    <w:p>
      <w:pPr>
        <w:pStyle w:val="Heading3"/>
      </w:pPr>
      <w:r>
        <w:t>1.3. Задачи работы</w:t>
      </w:r>
    </w:p>
    <w:p>
      <w:pPr>
        <w:pStyle w:val="ListNumber"/>
      </w:pPr>
      <w:r>
        <w:t>Исследовать существующие подходы к проверке фактической опоры текста на</w:t>
      </w:r>
    </w:p>
    <w:p>
      <w:r>
        <w:t xml:space="preserve">   источник, уточнить постановку задачи для русскоязычных документов.</w:t>
      </w:r>
    </w:p>
    <w:p>
      <w:pPr>
        <w:pStyle w:val="ListNumber"/>
      </w:pPr>
      <w:r>
        <w:t>Разработать признаки недостоверности на основе внимания языковой модели и</w:t>
      </w:r>
    </w:p>
    <w:p>
      <w:r>
        <w:t xml:space="preserve">   векторных представлений токенов.</w:t>
      </w:r>
    </w:p>
    <w:p>
      <w:pPr>
        <w:pStyle w:val="ListNumber"/>
      </w:pPr>
      <w:r>
        <w:t>Разработать схему агрегации признаков: оценка риска по токенам, выделение</w:t>
      </w:r>
    </w:p>
    <w:p>
      <w:r>
        <w:t xml:space="preserve">   связных фрагментов, расширение до границ предложения, оценка ответа в целом.</w:t>
      </w:r>
    </w:p>
    <w:p>
      <w:pPr>
        <w:pStyle w:val="ListNumber"/>
      </w:pPr>
      <w:r>
        <w:t>Разработать процедуру обучения и калибровки параметров по целевому уровню</w:t>
      </w:r>
    </w:p>
    <w:p>
      <w:r>
        <w:t xml:space="preserve">   ложных срабатываний.</w:t>
      </w:r>
    </w:p>
    <w:p>
      <w:pPr>
        <w:pStyle w:val="ListNumber"/>
      </w:pPr>
      <w:r>
        <w:t>Провести экспериментальную оценку метода на контрольном наборе и сравнить</w:t>
      </w:r>
    </w:p>
    <w:p>
      <w:r>
        <w:t xml:space="preserve">   признаки между собой, включая разбиение по слоям модели.</w:t>
      </w:r>
    </w:p>
    <w:p>
      <w:pPr>
        <w:pStyle w:val="ListNumber"/>
      </w:pPr>
      <w:r>
        <w:t>Разработать программную реализацию (локальное приложение, HTTP-интерфейс,</w:t>
      </w:r>
    </w:p>
    <w:p>
      <w:r>
        <w:t xml:space="preserve">   командный интерфейс) и провести её апробацию на контрольных примерах.</w:t>
      </w:r>
    </w:p>
    <w:p>
      <w:pPr>
        <w:pStyle w:val="ListNumber"/>
      </w:pPr>
      <w:r>
        <w:t>Подготовить отчётность: описание метода, руководство пользователя, отчёт о</w:t>
      </w:r>
    </w:p>
    <w:p>
      <w:r>
        <w:t xml:space="preserve">   НИР, воспроизводимые скрипты экспериментов.</w:t>
      </w:r>
    </w:p>
    <w:p>
      <w:pPr>
        <w:pStyle w:val="Heading3"/>
      </w:pPr>
      <w:r>
        <w:t>1.4. Объект и предмет исследования</w:t>
      </w:r>
    </w:p>
    <w:p>
      <w:pPr>
        <w:pStyle w:val="ListBullet"/>
      </w:pPr>
      <w:r>
        <w:rPr>
          <w:b/>
        </w:rPr>
        <w:t>Объект:</w:t>
      </w:r>
      <w:r>
        <w:t xml:space="preserve"> тексты, порождаемые языковыми моделями и людьми по заданному</w:t>
      </w:r>
    </w:p>
    <w:p>
      <w:r>
        <w:t xml:space="preserve">  документу-источнику.</w:t>
      </w:r>
    </w:p>
    <w:p>
      <w:pPr>
        <w:pStyle w:val="ListBullet"/>
      </w:pPr>
      <w:r>
        <w:rPr>
          <w:b/>
        </w:rPr>
        <w:t>Предмет:</w:t>
      </w:r>
      <w:r>
        <w:t xml:space="preserve"> связь между опорой фрагментов ответа на документ и признаками</w:t>
      </w:r>
    </w:p>
    <w:p>
      <w:r>
        <w:t xml:space="preserve">  языковой модели; методы автоматического выявления неподтверждённых</w:t>
      </w:r>
    </w:p>
    <w:p>
      <w:r>
        <w:t xml:space="preserve">  фрагментов.</w:t>
      </w:r>
    </w:p>
    <w:p>
      <w:pPr>
        <w:pStyle w:val="Heading3"/>
      </w:pPr>
      <w:r>
        <w:t>1.5. Методы исследования</w:t>
      </w:r>
    </w:p>
    <w:p>
      <w:pPr>
        <w:pStyle w:val="ListBullet"/>
      </w:pPr>
      <w:r>
        <w:t>анализ литературы и существующих подходов;</w:t>
      </w:r>
    </w:p>
    <w:p>
      <w:pPr>
        <w:pStyle w:val="ListBullet"/>
      </w:pPr>
      <w:r>
        <w:t>вычислительный эксперимент на размеченных парах;</w:t>
      </w:r>
    </w:p>
    <w:p>
      <w:pPr>
        <w:pStyle w:val="ListBullet"/>
      </w:pPr>
      <w:r>
        <w:t>статистическая оценка метрик (precision, recall, F1, FPR, AUC) с</w:t>
      </w:r>
    </w:p>
    <w:p>
      <w:r>
        <w:t xml:space="preserve">  доверительными интервалами методом бутстрэпа;</w:t>
      </w:r>
    </w:p>
    <w:p>
      <w:pPr>
        <w:pStyle w:val="ListBullet"/>
      </w:pPr>
      <w:r>
        <w:t>сравнительный анализ признаков и слоёв модели;</w:t>
      </w:r>
    </w:p>
    <w:p>
      <w:pPr>
        <w:pStyle w:val="ListBullet"/>
      </w:pPr>
      <w:r>
        <w:t>воспроизводимые сборки и автоматические проверки (GitHub Actions).</w:t>
      </w:r>
    </w:p>
    <w:p>
      <w:pPr>
        <w:pStyle w:val="Heading3"/>
      </w:pPr>
      <w:r>
        <w:t>1.6. Требования к результату</w:t>
      </w:r>
    </w:p>
    <w:p>
      <w:pPr>
        <w:pStyle w:val="ListNumber"/>
      </w:pPr>
      <w:r>
        <w:rPr>
          <w:b/>
        </w:rPr>
        <w:t>Метод</w:t>
      </w:r>
      <w:r>
        <w:t xml:space="preserve"> с формальным описанием: признаки, агрегация, пороги, калибровка.</w:t>
      </w:r>
    </w:p>
    <w:p>
      <w:pPr>
        <w:pStyle w:val="ListNumber"/>
      </w:pPr>
      <w:r>
        <w:rPr>
          <w:b/>
        </w:rPr>
        <w:t>Программная реализация</w:t>
      </w:r>
      <w:r>
        <w:t>: локальное приложение для Windows (один файл),</w:t>
      </w:r>
    </w:p>
    <w:p>
      <w:r>
        <w:t xml:space="preserve">   HTTP-интерфейс с контрактом </w:t>
      </w:r>
      <w:r>
        <w:rPr>
          <w:rFonts w:ascii="Consolas" w:hAnsi="Consolas"/>
          <w:color w:val="224488"/>
          <w:sz w:val="19"/>
        </w:rPr>
        <w:t>POST /v1/verify</w:t>
      </w:r>
      <w:r>
        <w:t>, командный интерфейс.</w:t>
      </w:r>
    </w:p>
    <w:p>
      <w:pPr>
        <w:pStyle w:val="ListNumber"/>
      </w:pPr>
      <w:r>
        <w:rPr>
          <w:b/>
        </w:rPr>
        <w:t>Параметры метода</w:t>
      </w:r>
      <w:r>
        <w:t xml:space="preserve"> в текстовом виде (</w:t>
      </w:r>
      <w:r>
        <w:rPr>
          <w:rFonts w:ascii="Consolas" w:hAnsi="Consolas"/>
          <w:color w:val="224488"/>
          <w:sz w:val="19"/>
        </w:rPr>
        <w:t>config/weights.json</w:t>
      </w:r>
      <w:r>
        <w:t>), воспроизводимые</w:t>
      </w:r>
    </w:p>
    <w:p>
      <w:r>
        <w:t xml:space="preserve">   по seed.</w:t>
      </w:r>
    </w:p>
    <w:p>
      <w:pPr>
        <w:pStyle w:val="ListNumber"/>
      </w:pPr>
      <w:r>
        <w:rPr>
          <w:b/>
        </w:rPr>
        <w:t>Результаты оценки</w:t>
      </w:r>
      <w:r>
        <w:t>: метрики по токенам и фрагментам на отложенной части</w:t>
      </w:r>
    </w:p>
    <w:p>
      <w:r>
        <w:t xml:space="preserve">   контрольного набора; отдельно — результаты пилота на реальной модели с</w:t>
      </w:r>
    </w:p>
    <w:p>
      <w:r>
        <w:t xml:space="preserve">   разбиением по слоям.</w:t>
      </w:r>
    </w:p>
    <w:p>
      <w:pPr>
        <w:pStyle w:val="ListNumber"/>
      </w:pPr>
      <w:r>
        <w:rPr>
          <w:b/>
        </w:rPr>
        <w:t>Отчётность</w:t>
      </w:r>
      <w:r>
        <w:t>: отчёт о НИР, руководство пользователя, описание формата</w:t>
      </w:r>
    </w:p>
    <w:p>
      <w:r>
        <w:t xml:space="preserve">   разметки, инструкция по воспроизведению экспериментов.</w:t>
      </w:r>
    </w:p>
    <w:p>
      <w:pPr>
        <w:pStyle w:val="Heading3"/>
      </w:pPr>
      <w:r>
        <w:t>1.7. Критерии приёмки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Целевое 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</w:tr>
      <w:tr>
        <w:tc>
          <w:tcPr>
            <w:tcW w:type="dxa" w:w="2880"/>
          </w:tcPr>
          <w:p>
            <w:r/>
            <w:r>
              <w:t>Качество по токенам на отложенных данных</w:t>
            </w:r>
          </w:p>
        </w:tc>
        <w:tc>
          <w:tcPr>
            <w:tcW w:type="dxa" w:w="2880"/>
          </w:tcPr>
          <w:p>
            <w:r/>
            <w:r>
              <w:t>F1 ≥ 0.90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&lt;набор&gt;</w:t>
            </w:r>
          </w:p>
        </w:tc>
      </w:tr>
      <w:tr>
        <w:tc>
          <w:tcPr>
            <w:tcW w:type="dxa" w:w="2880"/>
          </w:tcPr>
          <w:p>
            <w:r/>
            <w:r>
              <w:t>Доля ложных срабатываний</w:t>
            </w:r>
          </w:p>
        </w:tc>
        <w:tc>
          <w:tcPr>
            <w:tcW w:type="dxa" w:w="2880"/>
          </w:tcPr>
          <w:p>
            <w:r/>
            <w:r>
              <w:t>FPR ≤ 0.10</w:t>
            </w:r>
          </w:p>
        </w:tc>
        <w:tc>
          <w:tcPr>
            <w:tcW w:type="dxa" w:w="2880"/>
          </w:tcPr>
          <w:p>
            <w:r/>
            <w:r>
              <w:t>тот же отчёт</w:t>
            </w:r>
          </w:p>
        </w:tc>
      </w:tr>
      <w:tr>
        <w:tc>
          <w:tcPr>
            <w:tcW w:type="dxa" w:w="2880"/>
          </w:tcPr>
          <w:p>
            <w:r/>
            <w:r>
              <w:t>Тесты</w:t>
            </w:r>
          </w:p>
        </w:tc>
        <w:tc>
          <w:tcPr>
            <w:tcW w:type="dxa" w:w="2880"/>
          </w:tcPr>
          <w:p>
            <w:r/>
            <w:r>
              <w:t>≥ 60, все проходят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</w:tr>
      <w:tr>
        <w:tc>
          <w:tcPr>
            <w:tcW w:type="dxa" w:w="2880"/>
          </w:tcPr>
          <w:p>
            <w:r/>
            <w:r>
              <w:t>Покрытие кода</w:t>
            </w:r>
          </w:p>
        </w:tc>
        <w:tc>
          <w:tcPr>
            <w:tcW w:type="dxa" w:w="2880"/>
          </w:tcPr>
          <w:p>
            <w:r/>
            <w:r>
              <w:t>≥ 85 %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 --cov-fail-under=85</w:t>
            </w:r>
          </w:p>
        </w:tc>
      </w:tr>
      <w:tr>
        <w:tc>
          <w:tcPr>
            <w:tcW w:type="dxa" w:w="2880"/>
          </w:tcPr>
          <w:p>
            <w:r/>
            <w:r>
              <w:t>Стиль</w:t>
            </w:r>
          </w:p>
        </w:tc>
        <w:tc>
          <w:tcPr>
            <w:tcW w:type="dxa" w:w="2880"/>
          </w:tcPr>
          <w:p>
            <w:r/>
            <w:r>
              <w:t>без замечаний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</w:tr>
      <w:tr>
        <w:tc>
          <w:tcPr>
            <w:tcW w:type="dxa" w:w="2880"/>
          </w:tcPr>
          <w:p>
            <w:r/>
            <w:r>
              <w:t>Воспроизводимость</w:t>
            </w:r>
          </w:p>
        </w:tc>
        <w:tc>
          <w:tcPr>
            <w:tcW w:type="dxa" w:w="2880"/>
          </w:tcPr>
          <w:p>
            <w:r/>
            <w:r>
              <w:t>одинаковый seed → одинаковые параметры</w:t>
            </w:r>
          </w:p>
        </w:tc>
        <w:tc>
          <w:tcPr>
            <w:tcW w:type="dxa" w:w="2880"/>
          </w:tcPr>
          <w:p>
            <w:r/>
            <w:r>
              <w:t>сверка хешей в CI</w:t>
            </w:r>
          </w:p>
        </w:tc>
      </w:tr>
      <w:tr>
        <w:tc>
          <w:tcPr>
            <w:tcW w:type="dxa" w:w="2880"/>
          </w:tcPr>
          <w:p>
            <w:r/>
            <w:r>
              <w:t>Приложение</w:t>
            </w:r>
          </w:p>
        </w:tc>
        <w:tc>
          <w:tcPr>
            <w:tcW w:type="dxa" w:w="2880"/>
          </w:tcPr>
          <w:p>
            <w:r/>
            <w:r>
              <w:t>запускается и отвечает на запрос</w:t>
            </w:r>
          </w:p>
        </w:tc>
        <w:tc>
          <w:tcPr>
            <w:tcW w:type="dxa" w:w="2880"/>
          </w:tcPr>
          <w:p>
            <w:r/>
            <w:r>
              <w:t>смоук-тест в CI</w:t>
            </w:r>
          </w:p>
        </w:tc>
      </w:tr>
      <w:tr>
        <w:tc>
          <w:tcPr>
            <w:tcW w:type="dxa" w:w="2880"/>
          </w:tcPr>
          <w:p>
            <w:r/>
            <w:r>
              <w:t>Честность отчёта</w:t>
            </w:r>
          </w:p>
        </w:tc>
        <w:tc>
          <w:tcPr>
            <w:tcW w:type="dxa" w:w="2880"/>
          </w:tcPr>
          <w:p>
            <w:r/>
            <w:r>
              <w:t>демо-числа отделены от научных</w:t>
            </w:r>
          </w:p>
        </w:tc>
        <w:tc>
          <w:tcPr>
            <w:tcW w:type="dxa" w:w="2880"/>
          </w:tcPr>
          <w:p>
            <w:r/>
            <w:r>
              <w:t>проверка формулировок</w:t>
            </w:r>
          </w:p>
        </w:tc>
      </w:tr>
    </w:tbl>
    <w:p/>
    <w:p>
      <w:pPr>
        <w:pStyle w:val="Heading3"/>
      </w:pPr>
      <w:r>
        <w:t>1.8. Ограничения</w:t>
      </w:r>
    </w:p>
    <w:p>
      <w:pPr>
        <w:pStyle w:val="ListBullet"/>
      </w:pPr>
      <w:r>
        <w:t>Модель для признаков — небольшая (вычисления на CPU); результат зависит от</w:t>
      </w:r>
    </w:p>
    <w:p>
      <w:r>
        <w:t xml:space="preserve">  выбора модели и предметной области.</w:t>
      </w:r>
    </w:p>
    <w:p>
      <w:pPr>
        <w:pStyle w:val="ListBullet"/>
      </w:pPr>
      <w:r>
        <w:t>Контрольный набор на старте — синтетический; замена на размеченные реальные</w:t>
      </w:r>
    </w:p>
    <w:p>
      <w:r>
        <w:t xml:space="preserve">  документы повышает достоверность выводов, но не входит в базовый объём.</w:t>
      </w:r>
    </w:p>
    <w:p>
      <w:pPr>
        <w:pStyle w:val="ListBullet"/>
      </w:pPr>
      <w:r>
        <w:t>Требуется калибровка на данных пользователя: без неё порог носит</w:t>
      </w:r>
    </w:p>
    <w:p>
      <w:r>
        <w:t xml:space="preserve">  ориентировочный характер.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Календарный план</w:t>
      </w:r>
    </w:p>
    <w:p>
      <w:r>
        <w:t>Сроки указаны в относительных единицах (месяцы от начала работы); точные даты</w:t>
      </w:r>
    </w:p>
    <w:p>
      <w:r>
        <w:t>проставляются при подаче заявки.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Содержание работы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 этапа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Срок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Исследование подходов, уточнение постановки задачи, обзор методов проверки опоры текста на источник</w:t>
            </w:r>
          </w:p>
        </w:tc>
        <w:tc>
          <w:tcPr>
            <w:tcW w:type="dxa" w:w="2160"/>
          </w:tcPr>
          <w:p>
            <w:r/>
            <w:r>
              <w:t>аналитическая записка, постановка задачи</w:t>
            </w:r>
          </w:p>
        </w:tc>
        <w:tc>
          <w:tcPr>
            <w:tcW w:type="dxa" w:w="2160"/>
          </w:tcPr>
          <w:p>
            <w:r/>
            <w:r>
              <w:t>1-й месяц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Разработка признаков недостоверности и схемы агрегации; подготовка контрольного набора пар</w:t>
            </w:r>
          </w:p>
        </w:tc>
        <w:tc>
          <w:tcPr>
            <w:tcW w:type="dxa" w:w="2160"/>
          </w:tcPr>
          <w:p>
            <w:r/>
            <w:r>
              <w:t>описание метода, размеченный набор</w:t>
            </w:r>
          </w:p>
        </w:tc>
        <w:tc>
          <w:tcPr>
            <w:tcW w:type="dxa" w:w="2160"/>
          </w:tcPr>
          <w:p>
            <w:r/>
            <w:r>
              <w:t>2–3-й месяцы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Обучение и калибровка параметров метода по целевому уровню ложных срабатываний</w:t>
            </w:r>
          </w:p>
        </w:tc>
        <w:tc>
          <w:tcPr>
            <w:tcW w:type="dxa" w:w="2160"/>
          </w:tcPr>
          <w:p>
            <w:r/>
            <w:r>
              <w:t>обученные параметры, процедура воспроизводимого обучения</w:t>
            </w:r>
          </w:p>
        </w:tc>
        <w:tc>
          <w:tcPr>
            <w:tcW w:type="dxa" w:w="2160"/>
          </w:tcPr>
          <w:p>
            <w:r/>
            <w:r>
              <w:t>4-й месяц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Экспериментальная оценка: метрики по токенам и фрагментам, сравнение признаков</w:t>
            </w:r>
          </w:p>
        </w:tc>
        <w:tc>
          <w:tcPr>
            <w:tcW w:type="dxa" w:w="2160"/>
          </w:tcPr>
          <w:p>
            <w:r/>
            <w:r>
              <w:t>протокол экспериментов, таблицы метрик</w:t>
            </w:r>
          </w:p>
        </w:tc>
        <w:tc>
          <w:tcPr>
            <w:tcW w:type="dxa" w:w="2160"/>
          </w:tcPr>
          <w:p>
            <w:r/>
            <w:r>
              <w:t>5-й месяц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Пилотное исследование на реальной русскоязычной модели: сравнение признаков по слоям, доверительные интервалы</w:t>
            </w:r>
          </w:p>
        </w:tc>
        <w:tc>
          <w:tcPr>
            <w:tcW w:type="dxa" w:w="2160"/>
          </w:tcPr>
          <w:p>
            <w:r/>
            <w:r>
              <w:t>отчёт пилота</w:t>
            </w:r>
          </w:p>
        </w:tc>
        <w:tc>
          <w:tcPr>
            <w:tcW w:type="dxa" w:w="2160"/>
          </w:tcPr>
          <w:p>
            <w:r/>
            <w:r>
              <w:t>6-й месяц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Разработка программной реализации: локальное приложение, HTTP-интерфейс, командный интерфейс</w:t>
            </w:r>
          </w:p>
        </w:tc>
        <w:tc>
          <w:tcPr>
            <w:tcW w:type="dxa" w:w="2160"/>
          </w:tcPr>
          <w:p>
            <w:r/>
            <w:r>
              <w:t>работающее приложение</w:t>
            </w:r>
          </w:p>
        </w:tc>
        <w:tc>
          <w:tcPr>
            <w:tcW w:type="dxa" w:w="2160"/>
          </w:tcPr>
          <w:p>
            <w:r/>
            <w:r>
              <w:t>7–8-й месяцы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Апробация на контрольных примерах, проверка устойчивости, оформление документации</w:t>
            </w:r>
          </w:p>
        </w:tc>
        <w:tc>
          <w:tcPr>
            <w:tcW w:type="dxa" w:w="2160"/>
          </w:tcPr>
          <w:p>
            <w:r/>
            <w:r>
              <w:t>руководство пользователя, описание формата разметки</w:t>
            </w:r>
          </w:p>
        </w:tc>
        <w:tc>
          <w:tcPr>
            <w:tcW w:type="dxa" w:w="2160"/>
          </w:tcPr>
          <w:p>
            <w:r/>
            <w:r>
              <w:t>9-й месяц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Подготовка отчёта о НИР, обобщение результатов, формулировка ограничений и направлений развития</w:t>
            </w:r>
          </w:p>
        </w:tc>
        <w:tc>
          <w:tcPr>
            <w:tcW w:type="dxa" w:w="2160"/>
          </w:tcPr>
          <w:p>
            <w:r/>
            <w:r>
              <w:t>отчёт о НИР</w:t>
            </w:r>
          </w:p>
        </w:tc>
        <w:tc>
          <w:tcPr>
            <w:tcW w:type="dxa" w:w="2160"/>
          </w:tcPr>
          <w:p>
            <w:r/>
            <w:r>
              <w:t>10-й месяц</w:t>
            </w:r>
          </w:p>
        </w:tc>
      </w:tr>
    </w:tbl>
    <w:p/>
    <w:p>
      <w:pPr>
        <w:pStyle w:val="Heading3"/>
      </w:pPr>
      <w:r>
        <w:t>2.1. Ожидаемые результаты по этапам</w:t>
      </w:r>
    </w:p>
    <w:p>
      <w:pPr>
        <w:pStyle w:val="ListBullet"/>
      </w:pPr>
      <w:r>
        <w:rPr>
          <w:b/>
        </w:rPr>
        <w:t>Этапы 1–2:</w:t>
      </w:r>
      <w:r>
        <w:t xml:space="preserve"> постановка задачи, описание признаков и схемы агрегации,</w:t>
      </w:r>
    </w:p>
    <w:p>
      <w:r>
        <w:t xml:space="preserve">  контрольный набор с разметкой.</w:t>
      </w:r>
    </w:p>
    <w:p>
      <w:pPr>
        <w:pStyle w:val="ListBullet"/>
      </w:pPr>
      <w:r>
        <w:rPr>
          <w:b/>
        </w:rPr>
        <w:t>Этапы 3–5:</w:t>
      </w:r>
      <w:r>
        <w:t xml:space="preserve"> обученные параметры, метрики качества, результаты сравнения</w:t>
      </w:r>
    </w:p>
    <w:p>
      <w:r>
        <w:t xml:space="preserve">  признаков и слоёв модели, выводы о применимости подхода.</w:t>
      </w:r>
    </w:p>
    <w:p>
      <w:pPr>
        <w:pStyle w:val="ListBullet"/>
      </w:pPr>
      <w:r>
        <w:rPr>
          <w:b/>
        </w:rPr>
        <w:t>Этапы 6–7:</w:t>
      </w:r>
      <w:r>
        <w:t xml:space="preserve"> рабочее приложение и документация к нему.</w:t>
      </w:r>
    </w:p>
    <w:p>
      <w:pPr>
        <w:pStyle w:val="ListBullet"/>
      </w:pPr>
      <w:r>
        <w:rPr>
          <w:b/>
        </w:rPr>
        <w:t>Этап 8:</w:t>
      </w:r>
      <w:r>
        <w:t xml:space="preserve"> отчёт о НИР с честным разделением демонстрационных и научных</w:t>
      </w:r>
    </w:p>
    <w:p>
      <w:r>
        <w:t xml:space="preserve">  результатов.</w:t>
      </w:r>
    </w:p>
    <w:p>
      <w:pPr>
        <w:pStyle w:val="Heading3"/>
      </w:pPr>
      <w:r>
        <w:t>2.2. Риски и способы снижения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Риск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Способ снижения</w:t>
            </w:r>
          </w:p>
        </w:tc>
      </w:tr>
      <w:tr>
        <w:tc>
          <w:tcPr>
            <w:tcW w:type="dxa" w:w="4320"/>
          </w:tcPr>
          <w:p>
            <w:r/>
            <w:r>
              <w:t>Низкое качество на реальных документах</w:t>
            </w:r>
          </w:p>
        </w:tc>
        <w:tc>
          <w:tcPr>
            <w:tcW w:type="dxa" w:w="4320"/>
          </w:tcPr>
          <w:p>
            <w:r/>
            <w:r>
              <w:t>калибровка на данных пользователя, расширение разметки, доработка признаков</w:t>
            </w:r>
          </w:p>
        </w:tc>
      </w:tr>
      <w:tr>
        <w:tc>
          <w:tcPr>
            <w:tcW w:type="dxa" w:w="4320"/>
          </w:tcPr>
          <w:p>
            <w:r/>
            <w:r>
              <w:t>Ограниченные вычислительные ресурсы</w:t>
            </w:r>
          </w:p>
        </w:tc>
        <w:tc>
          <w:tcPr>
            <w:tcW w:type="dxa" w:w="4320"/>
          </w:tcPr>
          <w:p>
            <w:r/>
            <w:r>
              <w:t>работа на CPU, малая модель, разбиение экспериментов по слоям</w:t>
            </w:r>
          </w:p>
        </w:tc>
      </w:tr>
      <w:tr>
        <w:tc>
          <w:tcPr>
            <w:tcW w:type="dxa" w:w="4320"/>
          </w:tcPr>
          <w:p>
            <w:r/>
            <w:r>
              <w:t>Недоступность внешних весов модели</w:t>
            </w:r>
          </w:p>
        </w:tc>
        <w:tc>
          <w:tcPr>
            <w:tcW w:type="dxa" w:w="4320"/>
          </w:tcPr>
          <w:p>
            <w:r/>
            <w:r>
              <w:t>локальный кэш весов; запасной вариант — другая открытая модель</w:t>
            </w:r>
          </w:p>
        </w:tc>
      </w:tr>
      <w:tr>
        <w:tc>
          <w:tcPr>
            <w:tcW w:type="dxa" w:w="4320"/>
          </w:tcPr>
          <w:p>
            <w:r/>
            <w:r>
              <w:t>Расхождение ожиданий по объёму разметки</w:t>
            </w:r>
          </w:p>
        </w:tc>
        <w:tc>
          <w:tcPr>
            <w:tcW w:type="dxa" w:w="4320"/>
          </w:tcPr>
          <w:p>
            <w:r/>
            <w:r>
              <w:t>приоритет на малый, но аккуратно размеченный набор</w:t>
            </w:r>
          </w:p>
        </w:tc>
      </w:tr>
    </w:tbl>
    <w:p/>
    <w:p>
      <w:pPr>
        <w:pStyle w:val="Heading3"/>
      </w:pPr>
      <w:r>
        <w:t>2.3. Формы отчётности</w:t>
      </w:r>
    </w:p>
    <w:p>
      <w:pPr>
        <w:pStyle w:val="ListNumber"/>
      </w:pPr>
      <w:r>
        <w:t>Промежуточный отчёт по этапам 1–3 (описание метода, параметры обучения).</w:t>
      </w:r>
    </w:p>
    <w:p>
      <w:pPr>
        <w:pStyle w:val="ListNumber"/>
      </w:pPr>
      <w:r>
        <w:t>Отчёт по экспериментальной части (метрики, сравнение признаков).</w:t>
      </w:r>
    </w:p>
    <w:p>
      <w:pPr>
        <w:pStyle w:val="ListNumber"/>
      </w:pPr>
      <w:r>
        <w:t>Итоговый отчёт о НИР с приложением руководства пользователя и описания</w:t>
      </w:r>
    </w:p>
    <w:p>
      <w:r>
        <w:t xml:space="preserve">   воспроизведения экспериментов.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Соответствие результатов работе</w:t>
      </w:r>
    </w:p>
    <w:p>
      <w:r>
        <w:t xml:space="preserve">Работа выполнена в объёме этапов 1–7 (см. </w:t>
      </w:r>
      <w:r>
        <w:rPr>
          <w:rFonts w:ascii="Consolas" w:hAnsi="Consolas"/>
          <w:color w:val="224488"/>
          <w:sz w:val="19"/>
        </w:rPr>
        <w:t>ИТОГ.md</w:t>
      </w:r>
      <w:r>
        <w:t>): метод реализован,</w:t>
      </w:r>
    </w:p>
    <w:p>
      <w:r>
        <w:t>обучен и откалиброван, оценён на отложенной части контрольного набора,</w:t>
      </w:r>
    </w:p>
    <w:p>
      <w:r>
        <w:t>проведён пилот на реальной модели в режиме вычислений на CPU, приложение</w:t>
      </w:r>
    </w:p>
    <w:p>
      <w:r>
        <w:t>собрано и проверено автоматическим смоук-тестом, документация подготовлена.</w:t>
      </w:r>
    </w:p>
    <w:p>
      <w:r>
        <w:t>Этап 8 (подготовка итогового отчёта формы НИР) выполняется на основании</w:t>
      </w:r>
    </w:p>
    <w:p>
      <w:r>
        <w:t xml:space="preserve">материалов репозитория: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,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